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D3" w:rsidRDefault="009E64D3" w:rsidP="009464A2">
      <w:pPr>
        <w:spacing w:after="0" w:line="360" w:lineRule="auto"/>
        <w:rPr>
          <w:rFonts w:ascii="Palatino Linotype" w:hAnsi="Palatino Linotype" w:cs="Arial"/>
          <w:b/>
          <w:color w:val="222222"/>
          <w:sz w:val="44"/>
          <w:szCs w:val="44"/>
          <w:shd w:val="clear" w:color="auto" w:fill="FFFFFF"/>
        </w:rPr>
      </w:pPr>
      <w:bookmarkStart w:id="0" w:name="_GoBack"/>
      <w:bookmarkEnd w:id="0"/>
      <w:r>
        <w:rPr>
          <w:noProof/>
        </w:rPr>
        <w:drawing>
          <wp:inline distT="0" distB="0" distL="0" distR="0" wp14:anchorId="65D0C867" wp14:editId="77EA130E">
            <wp:extent cx="5212080" cy="2141220"/>
            <wp:effectExtent l="0" t="0" r="7620" b="0"/>
            <wp:docPr id="2" name="Picture 2" descr="http://streets.mn/wp-content/uploads/2013/05/mwb.jpg"/>
            <wp:cNvGraphicFramePr/>
            <a:graphic xmlns:a="http://schemas.openxmlformats.org/drawingml/2006/main">
              <a:graphicData uri="http://schemas.openxmlformats.org/drawingml/2006/picture">
                <pic:pic xmlns:pic="http://schemas.openxmlformats.org/drawingml/2006/picture">
                  <pic:nvPicPr>
                    <pic:cNvPr id="1" name="Picture 1" descr="http://streets.mn/wp-content/uploads/2013/05/mw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2141220"/>
                    </a:xfrm>
                    <a:prstGeom prst="rect">
                      <a:avLst/>
                    </a:prstGeom>
                    <a:noFill/>
                    <a:ln>
                      <a:noFill/>
                    </a:ln>
                  </pic:spPr>
                </pic:pic>
              </a:graphicData>
            </a:graphic>
          </wp:inline>
        </w:drawing>
      </w:r>
    </w:p>
    <w:p w:rsidR="003F3BAD" w:rsidRDefault="003F3BAD" w:rsidP="003F3BAD">
      <w:pPr>
        <w:spacing w:after="0" w:line="360" w:lineRule="auto"/>
        <w:rPr>
          <w:rFonts w:ascii="Palatino Linotype" w:hAnsi="Palatino Linotype" w:cs="Arial"/>
          <w:b/>
          <w:color w:val="222222"/>
          <w:sz w:val="44"/>
          <w:szCs w:val="44"/>
          <w:shd w:val="clear" w:color="auto" w:fill="FFFFFF"/>
        </w:rPr>
      </w:pPr>
    </w:p>
    <w:p w:rsidR="003F3BAD" w:rsidRDefault="00B94E61" w:rsidP="003F3BAD">
      <w:pPr>
        <w:spacing w:after="0" w:line="360" w:lineRule="auto"/>
        <w:rPr>
          <w:rFonts w:ascii="Palatino Linotype" w:hAnsi="Palatino Linotype" w:cs="Arial"/>
          <w:b/>
          <w:color w:val="222222"/>
          <w:sz w:val="44"/>
          <w:szCs w:val="44"/>
          <w:shd w:val="clear" w:color="auto" w:fill="FFFFFF"/>
        </w:rPr>
      </w:pPr>
      <w:r w:rsidRPr="00EB438F">
        <w:rPr>
          <w:rFonts w:ascii="Palatino Linotype" w:hAnsi="Palatino Linotype" w:cs="Arial"/>
          <w:b/>
          <w:color w:val="222222"/>
          <w:sz w:val="44"/>
          <w:szCs w:val="44"/>
          <w:shd w:val="clear" w:color="auto" w:fill="FFFFFF"/>
        </w:rPr>
        <w:t>Growing Portland</w:t>
      </w:r>
      <w:r w:rsidR="003F3BAD">
        <w:rPr>
          <w:rFonts w:ascii="Palatino Linotype" w:hAnsi="Palatino Linotype" w:cs="Arial"/>
          <w:b/>
          <w:color w:val="222222"/>
          <w:sz w:val="44"/>
          <w:szCs w:val="44"/>
          <w:shd w:val="clear" w:color="auto" w:fill="FFFFFF"/>
        </w:rPr>
        <w:t xml:space="preserve">: Not Whether but </w:t>
      </w:r>
      <w:r w:rsidR="003F3BAD" w:rsidRPr="003F3BAD">
        <w:rPr>
          <w:rFonts w:ascii="Palatino Linotype" w:hAnsi="Palatino Linotype" w:cs="Arial"/>
          <w:b/>
          <w:i/>
          <w:color w:val="222222"/>
          <w:sz w:val="44"/>
          <w:szCs w:val="44"/>
          <w:shd w:val="clear" w:color="auto" w:fill="FFFFFF"/>
        </w:rPr>
        <w:t>How</w:t>
      </w:r>
      <w:r w:rsidR="00A560FE" w:rsidRPr="00EB438F">
        <w:rPr>
          <w:rFonts w:ascii="Palatino Linotype" w:hAnsi="Palatino Linotype" w:cs="Arial"/>
          <w:b/>
          <w:color w:val="222222"/>
          <w:sz w:val="44"/>
          <w:szCs w:val="44"/>
          <w:shd w:val="clear" w:color="auto" w:fill="FFFFFF"/>
        </w:rPr>
        <w:tab/>
      </w:r>
    </w:p>
    <w:p w:rsidR="00EB438F" w:rsidRPr="005D4CB0" w:rsidRDefault="005D4CB0" w:rsidP="003F3BAD">
      <w:pPr>
        <w:spacing w:after="0" w:line="240" w:lineRule="auto"/>
        <w:rPr>
          <w:rFonts w:ascii="Palatino Linotype" w:hAnsi="Palatino Linotype" w:cs="Arial"/>
          <w:b/>
          <w:color w:val="222222"/>
          <w:sz w:val="24"/>
          <w:szCs w:val="24"/>
          <w:shd w:val="clear" w:color="auto" w:fill="FFFFFF"/>
        </w:rPr>
      </w:pPr>
      <w:r w:rsidRPr="005D4CB0">
        <w:rPr>
          <w:rFonts w:ascii="Palatino Linotype" w:hAnsi="Palatino Linotype" w:cs="Arial"/>
          <w:b/>
          <w:color w:val="222222"/>
          <w:sz w:val="24"/>
          <w:szCs w:val="24"/>
          <w:shd w:val="clear" w:color="auto" w:fill="FFFFFF"/>
        </w:rPr>
        <w:t>A Collaboration among</w:t>
      </w:r>
      <w:r w:rsidR="00A560FE" w:rsidRPr="005D4CB0">
        <w:rPr>
          <w:rFonts w:ascii="Palatino Linotype" w:hAnsi="Palatino Linotype" w:cs="Arial"/>
          <w:b/>
          <w:color w:val="222222"/>
          <w:sz w:val="24"/>
          <w:szCs w:val="24"/>
          <w:shd w:val="clear" w:color="auto" w:fill="FFFFFF"/>
        </w:rPr>
        <w:t xml:space="preserve"> Creative Portland, Muskie School of Public Service, Portland Regional Chambe</w:t>
      </w:r>
      <w:r w:rsidR="00E44842" w:rsidRPr="005D4CB0">
        <w:rPr>
          <w:rFonts w:ascii="Palatino Linotype" w:hAnsi="Palatino Linotype" w:cs="Arial"/>
          <w:b/>
          <w:color w:val="222222"/>
          <w:sz w:val="24"/>
          <w:szCs w:val="24"/>
          <w:shd w:val="clear" w:color="auto" w:fill="FFFFFF"/>
        </w:rPr>
        <w:t>r</w:t>
      </w:r>
      <w:r w:rsidR="00A560FE" w:rsidRPr="005D4CB0">
        <w:rPr>
          <w:rFonts w:ascii="Palatino Linotype" w:hAnsi="Palatino Linotype" w:cs="Arial"/>
          <w:b/>
          <w:color w:val="222222"/>
          <w:sz w:val="24"/>
          <w:szCs w:val="24"/>
          <w:shd w:val="clear" w:color="auto" w:fill="FFFFFF"/>
        </w:rPr>
        <w:t>, and Portland Society for Architecture</w:t>
      </w:r>
      <w:r w:rsidR="00C41B5C" w:rsidRPr="005D4CB0">
        <w:rPr>
          <w:rStyle w:val="FootnoteReference"/>
          <w:rFonts w:ascii="Palatino Linotype" w:hAnsi="Palatino Linotype"/>
          <w:b/>
          <w:sz w:val="24"/>
          <w:szCs w:val="24"/>
        </w:rPr>
        <w:footnoteReference w:id="1"/>
      </w:r>
      <w:r w:rsidR="00734A50" w:rsidRPr="005D4CB0">
        <w:rPr>
          <w:rFonts w:ascii="Palatino Linotype" w:hAnsi="Palatino Linotype" w:cs="Arial"/>
          <w:b/>
          <w:color w:val="222222"/>
          <w:sz w:val="24"/>
          <w:szCs w:val="24"/>
          <w:shd w:val="clear" w:color="auto" w:fill="FFFFFF"/>
        </w:rPr>
        <w:t xml:space="preserve">  </w:t>
      </w:r>
    </w:p>
    <w:p w:rsidR="00FD20D3" w:rsidRPr="00E44842" w:rsidRDefault="00734A50" w:rsidP="00A560FE">
      <w:pPr>
        <w:spacing w:after="0" w:line="240" w:lineRule="auto"/>
        <w:rPr>
          <w:rFonts w:ascii="Palatino Linotype" w:hAnsi="Palatino Linotype" w:cs="Arial"/>
          <w:b/>
          <w:color w:val="222222"/>
          <w:sz w:val="28"/>
          <w:szCs w:val="28"/>
          <w:shd w:val="clear" w:color="auto" w:fill="FFFFFF"/>
        </w:rPr>
      </w:pPr>
      <w:r w:rsidRPr="00E44842">
        <w:rPr>
          <w:rFonts w:ascii="Palatino Linotype" w:hAnsi="Palatino Linotype" w:cs="Arial"/>
          <w:b/>
          <w:color w:val="222222"/>
          <w:sz w:val="28"/>
          <w:szCs w:val="28"/>
          <w:shd w:val="clear" w:color="auto" w:fill="FFFFFF"/>
        </w:rPr>
        <w:t xml:space="preserve">           </w:t>
      </w:r>
    </w:p>
    <w:p w:rsidR="00630305" w:rsidRPr="005D4CB0" w:rsidRDefault="00630305" w:rsidP="00630305">
      <w:pPr>
        <w:spacing w:after="0" w:line="240" w:lineRule="auto"/>
        <w:rPr>
          <w:rFonts w:ascii="Palatino Linotype" w:hAnsi="Palatino Linotype"/>
          <w:sz w:val="20"/>
          <w:szCs w:val="20"/>
        </w:rPr>
      </w:pPr>
      <w:r w:rsidRPr="005D4CB0">
        <w:rPr>
          <w:rFonts w:ascii="Palatino Linotype" w:hAnsi="Palatino Linotype"/>
          <w:sz w:val="20"/>
          <w:szCs w:val="20"/>
        </w:rPr>
        <w:t xml:space="preserve">The following </w:t>
      </w:r>
      <w:r w:rsidR="005D4CB0">
        <w:rPr>
          <w:rFonts w:ascii="Palatino Linotype" w:hAnsi="Palatino Linotype"/>
          <w:sz w:val="20"/>
          <w:szCs w:val="20"/>
        </w:rPr>
        <w:t>individuals participated in the</w:t>
      </w:r>
      <w:r w:rsidRPr="005D4CB0">
        <w:rPr>
          <w:rFonts w:ascii="Palatino Linotype" w:hAnsi="Palatino Linotype"/>
          <w:sz w:val="20"/>
          <w:szCs w:val="20"/>
        </w:rPr>
        <w:t xml:space="preserve"> collaboration, its conception and development, three urban design charrette</w:t>
      </w:r>
      <w:r w:rsidR="005D4CB0" w:rsidRPr="005D4CB0">
        <w:rPr>
          <w:rFonts w:ascii="Palatino Linotype" w:hAnsi="Palatino Linotype"/>
          <w:sz w:val="20"/>
          <w:szCs w:val="20"/>
        </w:rPr>
        <w:t xml:space="preserve">s, and an open critique session: </w:t>
      </w:r>
      <w:r w:rsidRPr="005D4CB0">
        <w:rPr>
          <w:rFonts w:ascii="Palatino Linotype" w:hAnsi="Palatino Linotype"/>
          <w:sz w:val="20"/>
          <w:szCs w:val="20"/>
          <w:u w:val="single"/>
        </w:rPr>
        <w:t>Principal</w:t>
      </w:r>
      <w:r w:rsidRPr="005D4CB0">
        <w:rPr>
          <w:rFonts w:ascii="Palatino Linotype" w:hAnsi="Palatino Linotype"/>
          <w:sz w:val="20"/>
          <w:szCs w:val="20"/>
        </w:rPr>
        <w:t>s: Richard Barringer, Muskie School of Public Service; Sondra Bogdonoff, Creative Portland; Patrick Costin, Portland Society for Architecture; Chris Hall, Portland Regional Chamber of Commerce; Joseph McDonnell, Muskie School of Public Service; Carole Merrill, Portland Society for Architecture; Paul Stevens, Portland Society for Architecture.</w:t>
      </w:r>
      <w:r w:rsidR="005D4CB0" w:rsidRPr="005D4CB0">
        <w:rPr>
          <w:rFonts w:ascii="Palatino Linotype" w:hAnsi="Palatino Linotype"/>
          <w:sz w:val="20"/>
          <w:szCs w:val="20"/>
        </w:rPr>
        <w:t xml:space="preserve"> </w:t>
      </w:r>
      <w:r w:rsidRPr="005D4CB0">
        <w:rPr>
          <w:rFonts w:ascii="Palatino Linotype" w:hAnsi="Palatino Linotype"/>
          <w:sz w:val="20"/>
          <w:szCs w:val="20"/>
          <w:u w:val="single"/>
        </w:rPr>
        <w:t>Charrette Participants:</w:t>
      </w:r>
      <w:r w:rsidRPr="005D4CB0">
        <w:rPr>
          <w:rFonts w:ascii="Palatino Linotype" w:hAnsi="Palatino Linotype"/>
          <w:sz w:val="20"/>
          <w:szCs w:val="20"/>
        </w:rPr>
        <w:t xml:space="preserve"> Jesse Thompson (Facilitator), Richard Barringer, Peter Bass, Paul Becker, Michael Belleau, Sondra Bogdonoff, Michael Bourque, James Brady, Chris Cantwell, Evan Carroll, Phil Chaney, Jennifer Claster, Patrick Costin, John Gallagher, Mark Googins,  Joseph Gray, Chris Hall, Quincy Hentzel, Tim Honey, Ian Jacob, Alex Jaegerman, Mark Johnson, Jack Kartez, Alyssa Keating, Paul Lewandowski, Jack Lufkin, Joseph McDonnell, Edward McGarrity, Gerry Mylroie, Firooza Pavri, Alyssa Phanitdasack,  Casey Prentice, Lynn Shaffer, Joanna Shaw, Julia Tate, Barry Sheff, Addy Smith-Reiman Paul Stevens, Russ Tyson, Ryan Wallace, Lisa Whited. </w:t>
      </w:r>
      <w:r w:rsidRPr="005D4CB0">
        <w:rPr>
          <w:rFonts w:ascii="Palatino Linotype" w:hAnsi="Palatino Linotype"/>
          <w:sz w:val="20"/>
          <w:szCs w:val="20"/>
          <w:u w:val="single"/>
        </w:rPr>
        <w:t>Critique Jurors:</w:t>
      </w:r>
      <w:r w:rsidRPr="005D4CB0">
        <w:rPr>
          <w:rFonts w:ascii="Palatino Linotype" w:hAnsi="Palatino Linotype"/>
          <w:sz w:val="20"/>
          <w:szCs w:val="20"/>
        </w:rPr>
        <w:t xml:space="preserve"> Alex Landry, Christian Milneil, Carol Morris, Jaime Parker, Cap Prasch, Amy Segal, Sally Struever</w:t>
      </w:r>
      <w:r w:rsidR="005D4CB0" w:rsidRPr="005D4CB0">
        <w:rPr>
          <w:rFonts w:ascii="Palatino Linotype" w:hAnsi="Palatino Linotype"/>
          <w:sz w:val="20"/>
          <w:szCs w:val="20"/>
        </w:rPr>
        <w:t xml:space="preserve">. </w:t>
      </w:r>
      <w:r w:rsidRPr="005D4CB0">
        <w:rPr>
          <w:rFonts w:ascii="Palatino Linotype" w:hAnsi="Palatino Linotype"/>
          <w:sz w:val="20"/>
          <w:szCs w:val="20"/>
        </w:rPr>
        <w:t>All are especially grateful to Carole Merrill, Executive Director of the Portland Society for Architecture, and to Sondra Bogdonoff, Acting Executive Director of Creative Portland, for their organizational skills</w:t>
      </w:r>
      <w:r w:rsidR="005D4CB0" w:rsidRPr="005D4CB0">
        <w:rPr>
          <w:rFonts w:ascii="Palatino Linotype" w:hAnsi="Palatino Linotype"/>
          <w:sz w:val="20"/>
          <w:szCs w:val="20"/>
        </w:rPr>
        <w:t xml:space="preserve"> and support</w:t>
      </w:r>
      <w:r w:rsidRPr="005D4CB0">
        <w:rPr>
          <w:rFonts w:ascii="Palatino Linotype" w:hAnsi="Palatino Linotype"/>
          <w:sz w:val="20"/>
          <w:szCs w:val="20"/>
        </w:rPr>
        <w:t xml:space="preserve"> that made this collaboration possible.   </w:t>
      </w:r>
    </w:p>
    <w:p w:rsidR="00630305" w:rsidRDefault="00630305" w:rsidP="00630305">
      <w:pPr>
        <w:spacing w:after="0" w:line="240" w:lineRule="auto"/>
        <w:rPr>
          <w:rFonts w:ascii="Palatino Linotype" w:hAnsi="Palatino Linotype" w:cs="Arial"/>
          <w:b/>
          <w:color w:val="222222"/>
          <w:sz w:val="28"/>
          <w:szCs w:val="28"/>
          <w:shd w:val="clear" w:color="auto" w:fill="FFFFFF"/>
        </w:rPr>
      </w:pPr>
      <w:r w:rsidRPr="005D4CB0">
        <w:rPr>
          <w:rFonts w:ascii="Palatino Linotype" w:hAnsi="Palatino Linotype" w:cs="Arial"/>
          <w:b/>
          <w:color w:val="222222"/>
          <w:sz w:val="20"/>
          <w:szCs w:val="20"/>
          <w:shd w:val="clear" w:color="auto" w:fill="FFFFFF"/>
        </w:rPr>
        <w:br w:type="page"/>
      </w:r>
      <w:r w:rsidR="00EB438F" w:rsidRPr="00EB438F">
        <w:rPr>
          <w:rFonts w:ascii="Palatino Linotype" w:hAnsi="Palatino Linotype" w:cs="Arial"/>
          <w:b/>
          <w:color w:val="222222"/>
          <w:sz w:val="28"/>
          <w:szCs w:val="28"/>
          <w:shd w:val="clear" w:color="auto" w:fill="FFFFFF"/>
        </w:rPr>
        <w:lastRenderedPageBreak/>
        <w:t>Contents:</w:t>
      </w:r>
      <w:r w:rsidR="00EB438F">
        <w:rPr>
          <w:rFonts w:ascii="Palatino Linotype" w:hAnsi="Palatino Linotype" w:cs="Arial"/>
          <w:b/>
          <w:color w:val="222222"/>
          <w:sz w:val="28"/>
          <w:szCs w:val="28"/>
          <w:shd w:val="clear" w:color="auto" w:fill="FFFFFF"/>
        </w:rPr>
        <w:t xml:space="preserve"> </w:t>
      </w:r>
      <w:r w:rsidR="00E44842" w:rsidRPr="00EB438F">
        <w:rPr>
          <w:rFonts w:ascii="Palatino Linotype" w:hAnsi="Palatino Linotype" w:cs="Arial"/>
          <w:b/>
          <w:color w:val="222222"/>
          <w:sz w:val="28"/>
          <w:szCs w:val="28"/>
          <w:shd w:val="clear" w:color="auto" w:fill="FFFFFF"/>
        </w:rPr>
        <w:t xml:space="preserve"> </w:t>
      </w:r>
      <w:r w:rsidR="00EB438F">
        <w:rPr>
          <w:rFonts w:ascii="Palatino Linotype" w:hAnsi="Palatino Linotype" w:cs="Arial"/>
          <w:b/>
          <w:color w:val="222222"/>
          <w:sz w:val="28"/>
          <w:szCs w:val="28"/>
          <w:shd w:val="clear" w:color="auto" w:fill="FFFFFF"/>
        </w:rPr>
        <w:tab/>
      </w:r>
      <w:r w:rsidR="00E44842" w:rsidRPr="00EB438F">
        <w:rPr>
          <w:rFonts w:ascii="Palatino Linotype" w:hAnsi="Palatino Linotype" w:cs="Arial"/>
          <w:b/>
          <w:color w:val="222222"/>
          <w:sz w:val="28"/>
          <w:szCs w:val="28"/>
          <w:shd w:val="clear" w:color="auto" w:fill="FFFFFF"/>
        </w:rPr>
        <w:t xml:space="preserve">I.    Not Whether but </w:t>
      </w:r>
      <w:r w:rsidR="00E44842" w:rsidRPr="00EB438F">
        <w:rPr>
          <w:rFonts w:ascii="Palatino Linotype" w:hAnsi="Palatino Linotype" w:cs="Arial"/>
          <w:b/>
          <w:i/>
          <w:color w:val="222222"/>
          <w:sz w:val="28"/>
          <w:szCs w:val="28"/>
          <w:shd w:val="clear" w:color="auto" w:fill="FFFFFF"/>
        </w:rPr>
        <w:t>How:</w:t>
      </w:r>
      <w:r w:rsidR="00E44842" w:rsidRPr="00EB438F">
        <w:rPr>
          <w:rFonts w:ascii="Palatino Linotype" w:hAnsi="Palatino Linotype" w:cs="Arial"/>
          <w:b/>
          <w:color w:val="222222"/>
          <w:sz w:val="28"/>
          <w:szCs w:val="28"/>
          <w:shd w:val="clear" w:color="auto" w:fill="FFFFFF"/>
        </w:rPr>
        <w:t xml:space="preserve"> Making the Case, p. 1</w:t>
      </w:r>
    </w:p>
    <w:p w:rsidR="00E44842" w:rsidRPr="00EB438F" w:rsidRDefault="00E44842" w:rsidP="00630305">
      <w:pPr>
        <w:spacing w:after="0" w:line="240" w:lineRule="auto"/>
        <w:ind w:left="720" w:firstLine="720"/>
        <w:rPr>
          <w:rFonts w:ascii="Palatino Linotype" w:hAnsi="Palatino Linotype" w:cs="Arial"/>
          <w:b/>
          <w:color w:val="222222"/>
          <w:sz w:val="28"/>
          <w:szCs w:val="28"/>
          <w:shd w:val="clear" w:color="auto" w:fill="FFFFFF"/>
        </w:rPr>
      </w:pPr>
      <w:r w:rsidRPr="00EB438F">
        <w:rPr>
          <w:rFonts w:ascii="Palatino Linotype" w:hAnsi="Palatino Linotype" w:cs="Arial"/>
          <w:b/>
          <w:color w:val="222222"/>
          <w:sz w:val="28"/>
          <w:szCs w:val="28"/>
          <w:shd w:val="clear" w:color="auto" w:fill="FFFFFF"/>
        </w:rPr>
        <w:t xml:space="preserve">II.   </w:t>
      </w:r>
      <w:r w:rsidR="00216512" w:rsidRPr="00EB438F">
        <w:rPr>
          <w:rFonts w:ascii="Palatino Linotype" w:hAnsi="Palatino Linotype" w:cs="Arial"/>
          <w:b/>
          <w:color w:val="222222"/>
          <w:sz w:val="28"/>
          <w:szCs w:val="28"/>
          <w:shd w:val="clear" w:color="auto" w:fill="FFFFFF"/>
        </w:rPr>
        <w:t xml:space="preserve">Some </w:t>
      </w:r>
      <w:r w:rsidRPr="00EB438F">
        <w:rPr>
          <w:rFonts w:ascii="Palatino Linotype" w:hAnsi="Palatino Linotype" w:cs="Arial"/>
          <w:b/>
          <w:color w:val="222222"/>
          <w:sz w:val="28"/>
          <w:szCs w:val="28"/>
          <w:shd w:val="clear" w:color="auto" w:fill="FFFFFF"/>
        </w:rPr>
        <w:t>Illustrations</w:t>
      </w:r>
      <w:r w:rsidR="00216512" w:rsidRPr="00EB438F">
        <w:rPr>
          <w:rFonts w:ascii="Palatino Linotype" w:hAnsi="Palatino Linotype" w:cs="Arial"/>
          <w:b/>
          <w:color w:val="222222"/>
          <w:sz w:val="28"/>
          <w:szCs w:val="28"/>
          <w:shd w:val="clear" w:color="auto" w:fill="FFFFFF"/>
        </w:rPr>
        <w:t xml:space="preserve"> of the </w:t>
      </w:r>
      <w:r w:rsidR="00083234">
        <w:rPr>
          <w:rFonts w:ascii="Palatino Linotype" w:hAnsi="Palatino Linotype" w:cs="Arial"/>
          <w:b/>
          <w:color w:val="222222"/>
          <w:sz w:val="28"/>
          <w:szCs w:val="28"/>
          <w:shd w:val="clear" w:color="auto" w:fill="FFFFFF"/>
        </w:rPr>
        <w:t xml:space="preserve">Concept and </w:t>
      </w:r>
      <w:r w:rsidR="00630305">
        <w:rPr>
          <w:rFonts w:ascii="Palatino Linotype" w:hAnsi="Palatino Linotype" w:cs="Arial"/>
          <w:b/>
          <w:color w:val="222222"/>
          <w:sz w:val="28"/>
          <w:szCs w:val="28"/>
          <w:shd w:val="clear" w:color="auto" w:fill="FFFFFF"/>
        </w:rPr>
        <w:t>Vision, p. 14</w:t>
      </w:r>
      <w:r w:rsidRPr="00EB438F">
        <w:rPr>
          <w:rFonts w:ascii="Palatino Linotype" w:hAnsi="Palatino Linotype" w:cs="Arial"/>
          <w:b/>
          <w:color w:val="222222"/>
          <w:sz w:val="28"/>
          <w:szCs w:val="28"/>
          <w:shd w:val="clear" w:color="auto" w:fill="FFFFFF"/>
        </w:rPr>
        <w:t xml:space="preserve"> </w:t>
      </w:r>
    </w:p>
    <w:p w:rsidR="00D54324" w:rsidRPr="00EB438F" w:rsidRDefault="00E44842" w:rsidP="00630305">
      <w:pPr>
        <w:spacing w:after="0" w:line="240" w:lineRule="auto"/>
        <w:ind w:left="720" w:firstLine="720"/>
        <w:rPr>
          <w:rFonts w:ascii="Palatino Linotype" w:hAnsi="Palatino Linotype" w:cs="Arial"/>
          <w:b/>
          <w:color w:val="222222"/>
          <w:sz w:val="28"/>
          <w:szCs w:val="28"/>
          <w:shd w:val="clear" w:color="auto" w:fill="FFFFFF"/>
        </w:rPr>
      </w:pPr>
      <w:r w:rsidRPr="00EB438F">
        <w:rPr>
          <w:rFonts w:ascii="Palatino Linotype" w:hAnsi="Palatino Linotype" w:cs="Arial"/>
          <w:b/>
          <w:color w:val="222222"/>
          <w:sz w:val="28"/>
          <w:szCs w:val="28"/>
          <w:shd w:val="clear" w:color="auto" w:fill="FFFFFF"/>
        </w:rPr>
        <w:t xml:space="preserve">III. </w:t>
      </w:r>
      <w:r w:rsidR="009E622D" w:rsidRPr="00EB438F">
        <w:rPr>
          <w:rFonts w:ascii="Palatino Linotype" w:hAnsi="Palatino Linotype" w:cs="Arial"/>
          <w:b/>
          <w:color w:val="222222"/>
          <w:sz w:val="28"/>
          <w:szCs w:val="28"/>
          <w:shd w:val="clear" w:color="auto" w:fill="FFFFFF"/>
        </w:rPr>
        <w:t xml:space="preserve">Portland’s Workforce Dynamics, </w:t>
      </w:r>
      <w:r w:rsidRPr="00EB438F">
        <w:rPr>
          <w:rFonts w:ascii="Palatino Linotype" w:hAnsi="Palatino Linotype" w:cs="Arial"/>
          <w:b/>
          <w:color w:val="222222"/>
          <w:sz w:val="28"/>
          <w:szCs w:val="28"/>
          <w:shd w:val="clear" w:color="auto" w:fill="FFFFFF"/>
        </w:rPr>
        <w:t>2004-2014</w:t>
      </w:r>
      <w:r w:rsidR="00216512" w:rsidRPr="00EB438F">
        <w:rPr>
          <w:rFonts w:ascii="Palatino Linotype" w:hAnsi="Palatino Linotype" w:cs="Arial"/>
          <w:b/>
          <w:color w:val="222222"/>
          <w:sz w:val="28"/>
          <w:szCs w:val="28"/>
          <w:shd w:val="clear" w:color="auto" w:fill="FFFFFF"/>
        </w:rPr>
        <w:t>, p.</w:t>
      </w:r>
      <w:r w:rsidR="00630305">
        <w:rPr>
          <w:rFonts w:ascii="Palatino Linotype" w:hAnsi="Palatino Linotype" w:cs="Arial"/>
          <w:b/>
          <w:color w:val="222222"/>
          <w:sz w:val="28"/>
          <w:szCs w:val="28"/>
          <w:shd w:val="clear" w:color="auto" w:fill="FFFFFF"/>
        </w:rPr>
        <w:t>15</w:t>
      </w:r>
    </w:p>
    <w:p w:rsidR="00E44842" w:rsidRPr="00EB438F" w:rsidRDefault="00E44842" w:rsidP="00630305">
      <w:pPr>
        <w:spacing w:after="0" w:line="240" w:lineRule="auto"/>
        <w:ind w:left="720" w:firstLine="720"/>
        <w:rPr>
          <w:rFonts w:ascii="Palatino Linotype" w:hAnsi="Palatino Linotype" w:cs="Arial"/>
          <w:b/>
          <w:color w:val="222222"/>
          <w:sz w:val="28"/>
          <w:szCs w:val="28"/>
          <w:shd w:val="clear" w:color="auto" w:fill="FFFFFF"/>
        </w:rPr>
      </w:pPr>
      <w:r w:rsidRPr="00EB438F">
        <w:rPr>
          <w:rFonts w:ascii="Palatino Linotype" w:hAnsi="Palatino Linotype" w:cs="Arial"/>
          <w:b/>
          <w:color w:val="222222"/>
          <w:sz w:val="28"/>
          <w:szCs w:val="28"/>
          <w:shd w:val="clear" w:color="auto" w:fill="FFFFFF"/>
        </w:rPr>
        <w:t xml:space="preserve">IV. </w:t>
      </w:r>
      <w:r w:rsidR="000D33C8">
        <w:rPr>
          <w:rFonts w:ascii="Palatino Linotype" w:hAnsi="Palatino Linotype" w:cs="Arial"/>
          <w:b/>
          <w:color w:val="222222"/>
          <w:sz w:val="28"/>
          <w:szCs w:val="28"/>
          <w:shd w:val="clear" w:color="auto" w:fill="FFFFFF"/>
        </w:rPr>
        <w:t>“</w:t>
      </w:r>
      <w:r w:rsidR="005D4CB0">
        <w:rPr>
          <w:rFonts w:ascii="Palatino Linotype" w:hAnsi="Palatino Linotype" w:cs="Arial"/>
          <w:b/>
          <w:color w:val="222222"/>
          <w:sz w:val="28"/>
          <w:szCs w:val="28"/>
          <w:shd w:val="clear" w:color="auto" w:fill="FFFFFF"/>
        </w:rPr>
        <w:t>The New Allure of the City</w:t>
      </w:r>
      <w:r w:rsidR="000D33C8">
        <w:rPr>
          <w:rFonts w:ascii="Palatino Linotype" w:hAnsi="Palatino Linotype" w:cs="Arial"/>
          <w:b/>
          <w:color w:val="222222"/>
          <w:sz w:val="28"/>
          <w:szCs w:val="28"/>
          <w:shd w:val="clear" w:color="auto" w:fill="FFFFFF"/>
        </w:rPr>
        <w:t>”</w:t>
      </w:r>
      <w:r w:rsidR="005D4CB0">
        <w:rPr>
          <w:rFonts w:ascii="Palatino Linotype" w:hAnsi="Palatino Linotype" w:cs="Arial"/>
          <w:b/>
          <w:color w:val="222222"/>
          <w:sz w:val="28"/>
          <w:szCs w:val="28"/>
          <w:shd w:val="clear" w:color="auto" w:fill="FFFFFF"/>
        </w:rPr>
        <w:t xml:space="preserve"> (a summary) p. 23</w:t>
      </w:r>
    </w:p>
    <w:p w:rsidR="00FD20D3" w:rsidRDefault="00FD20D3" w:rsidP="00FD20D3">
      <w:pPr>
        <w:spacing w:after="0" w:line="360" w:lineRule="auto"/>
        <w:rPr>
          <w:rFonts w:ascii="Palatino Linotype" w:hAnsi="Palatino Linotype" w:cs="Arial"/>
          <w:b/>
          <w:color w:val="222222"/>
          <w:sz w:val="20"/>
          <w:szCs w:val="20"/>
          <w:shd w:val="clear" w:color="auto" w:fill="FFFFFF"/>
        </w:rPr>
      </w:pPr>
    </w:p>
    <w:p w:rsidR="00630305" w:rsidRDefault="00630305" w:rsidP="00E44842">
      <w:pPr>
        <w:spacing w:after="0" w:line="360" w:lineRule="auto"/>
        <w:rPr>
          <w:rFonts w:ascii="Palatino Linotype" w:hAnsi="Palatino Linotype" w:cs="Arial"/>
          <w:b/>
          <w:color w:val="222222"/>
          <w:sz w:val="28"/>
          <w:szCs w:val="28"/>
          <w:shd w:val="clear" w:color="auto" w:fill="FFFFFF"/>
        </w:rPr>
      </w:pPr>
    </w:p>
    <w:p w:rsidR="00FD20D3" w:rsidRPr="00E44842" w:rsidRDefault="00E44842" w:rsidP="00E44842">
      <w:pPr>
        <w:spacing w:after="0" w:line="360" w:lineRule="auto"/>
        <w:rPr>
          <w:rFonts w:ascii="Palatino Linotype" w:hAnsi="Palatino Linotype" w:cs="Arial"/>
          <w:b/>
          <w:color w:val="222222"/>
          <w:sz w:val="28"/>
          <w:szCs w:val="28"/>
          <w:shd w:val="clear" w:color="auto" w:fill="FFFFFF"/>
        </w:rPr>
      </w:pPr>
      <w:r>
        <w:rPr>
          <w:rFonts w:ascii="Palatino Linotype" w:hAnsi="Palatino Linotype" w:cs="Arial"/>
          <w:b/>
          <w:color w:val="222222"/>
          <w:sz w:val="28"/>
          <w:szCs w:val="28"/>
          <w:shd w:val="clear" w:color="auto" w:fill="FFFFFF"/>
        </w:rPr>
        <w:t xml:space="preserve">I.  </w:t>
      </w:r>
      <w:r w:rsidR="00A560FE" w:rsidRPr="00E44842">
        <w:rPr>
          <w:rFonts w:ascii="Palatino Linotype" w:hAnsi="Palatino Linotype" w:cs="Arial"/>
          <w:b/>
          <w:color w:val="222222"/>
          <w:sz w:val="28"/>
          <w:szCs w:val="28"/>
          <w:shd w:val="clear" w:color="auto" w:fill="FFFFFF"/>
        </w:rPr>
        <w:t xml:space="preserve">Not Whether but </w:t>
      </w:r>
      <w:r w:rsidR="00A560FE" w:rsidRPr="00E44842">
        <w:rPr>
          <w:rFonts w:ascii="Palatino Linotype" w:hAnsi="Palatino Linotype" w:cs="Arial"/>
          <w:b/>
          <w:i/>
          <w:color w:val="222222"/>
          <w:sz w:val="28"/>
          <w:szCs w:val="28"/>
          <w:shd w:val="clear" w:color="auto" w:fill="FFFFFF"/>
        </w:rPr>
        <w:t>How:</w:t>
      </w:r>
      <w:r w:rsidR="00A560FE" w:rsidRPr="00E44842">
        <w:rPr>
          <w:rFonts w:ascii="Palatino Linotype" w:hAnsi="Palatino Linotype" w:cs="Arial"/>
          <w:b/>
          <w:color w:val="222222"/>
          <w:sz w:val="28"/>
          <w:szCs w:val="28"/>
          <w:shd w:val="clear" w:color="auto" w:fill="FFFFFF"/>
        </w:rPr>
        <w:t xml:space="preserve"> Making the Case</w:t>
      </w:r>
    </w:p>
    <w:p w:rsidR="00E44842" w:rsidRDefault="00E44842" w:rsidP="00E44842">
      <w:pPr>
        <w:spacing w:after="0" w:line="240" w:lineRule="auto"/>
        <w:rPr>
          <w:rFonts w:ascii="Palatino Linotype" w:hAnsi="Palatino Linotype" w:cs="Arial"/>
          <w:b/>
          <w:color w:val="222222"/>
          <w:sz w:val="24"/>
          <w:szCs w:val="24"/>
          <w:shd w:val="clear" w:color="auto" w:fill="FFFFFF"/>
        </w:rPr>
      </w:pPr>
      <w:r>
        <w:rPr>
          <w:rFonts w:ascii="Palatino Linotype" w:hAnsi="Palatino Linotype" w:cs="Arial"/>
          <w:b/>
          <w:color w:val="222222"/>
          <w:sz w:val="24"/>
          <w:szCs w:val="24"/>
          <w:shd w:val="clear" w:color="auto" w:fill="FFFFFF"/>
        </w:rPr>
        <w:t>by Richard Barringer and Joseph McDonnell, with John Dorrer and Ryan Wallace</w:t>
      </w:r>
    </w:p>
    <w:p w:rsidR="00E44842" w:rsidRDefault="00E44842" w:rsidP="00E44842">
      <w:pPr>
        <w:spacing w:after="0" w:line="240" w:lineRule="auto"/>
        <w:rPr>
          <w:rFonts w:ascii="Palatino Linotype" w:hAnsi="Palatino Linotype" w:cs="Arial"/>
          <w:b/>
          <w:color w:val="222222"/>
          <w:sz w:val="24"/>
          <w:szCs w:val="24"/>
          <w:shd w:val="clear" w:color="auto" w:fill="FFFFFF"/>
        </w:rPr>
      </w:pPr>
    </w:p>
    <w:p w:rsidR="00AE71B9" w:rsidRPr="001E4965" w:rsidRDefault="00FD20D3" w:rsidP="001171C3">
      <w:pPr>
        <w:spacing w:after="120" w:line="360" w:lineRule="auto"/>
        <w:rPr>
          <w:rFonts w:ascii="Palatino Linotype" w:hAnsi="Palatino Linotype" w:cs="Arial"/>
          <w:shd w:val="clear" w:color="auto" w:fill="FFFFFF"/>
        </w:rPr>
      </w:pPr>
      <w:r w:rsidRPr="00EA32F2">
        <w:rPr>
          <w:rFonts w:ascii="Palatino Linotype" w:hAnsi="Palatino Linotype" w:cs="Arial"/>
          <w:b/>
          <w:color w:val="222222"/>
          <w:sz w:val="20"/>
          <w:szCs w:val="20"/>
          <w:shd w:val="clear" w:color="auto" w:fill="FFFFFF"/>
        </w:rPr>
        <w:t>Introduction</w:t>
      </w:r>
      <w:r w:rsidRPr="00EA32F2">
        <w:rPr>
          <w:rFonts w:ascii="Palatino Linotype" w:hAnsi="Palatino Linotype" w:cs="Arial"/>
          <w:color w:val="222222"/>
          <w:shd w:val="clear" w:color="auto" w:fill="FFFFFF"/>
        </w:rPr>
        <w:t xml:space="preserve">. </w:t>
      </w:r>
      <w:r w:rsidR="00AE71B9" w:rsidRPr="001E4965">
        <w:rPr>
          <w:rFonts w:ascii="Palatino Linotype" w:hAnsi="Palatino Linotype" w:cs="Arial"/>
          <w:shd w:val="clear" w:color="auto" w:fill="FFFFFF"/>
        </w:rPr>
        <w:t xml:space="preserve">This is a singular moment in the long and fabled history of Portland, Maine. It </w:t>
      </w:r>
      <w:r w:rsidR="00065837" w:rsidRPr="001E4965">
        <w:rPr>
          <w:rFonts w:ascii="Palatino Linotype" w:hAnsi="Palatino Linotype" w:cs="Arial"/>
          <w:shd w:val="clear" w:color="auto" w:fill="FFFFFF"/>
        </w:rPr>
        <w:t xml:space="preserve">today </w:t>
      </w:r>
      <w:r w:rsidR="00AE71B9" w:rsidRPr="001E4965">
        <w:rPr>
          <w:rFonts w:ascii="Palatino Linotype" w:hAnsi="Palatino Linotype" w:cs="Arial"/>
          <w:shd w:val="clear" w:color="auto" w:fill="FFFFFF"/>
        </w:rPr>
        <w:t>posses</w:t>
      </w:r>
      <w:r w:rsidR="0067789E" w:rsidRPr="001E4965">
        <w:rPr>
          <w:rFonts w:ascii="Palatino Linotype" w:hAnsi="Palatino Linotype" w:cs="Arial"/>
          <w:shd w:val="clear" w:color="auto" w:fill="FFFFFF"/>
        </w:rPr>
        <w:t>ses all the ingredients for</w:t>
      </w:r>
      <w:r w:rsidR="00AE71B9" w:rsidRPr="001E4965">
        <w:rPr>
          <w:rFonts w:ascii="Palatino Linotype" w:hAnsi="Palatino Linotype" w:cs="Arial"/>
          <w:shd w:val="clear" w:color="auto" w:fill="FFFFFF"/>
        </w:rPr>
        <w:t xml:space="preserve"> a successful </w:t>
      </w:r>
      <w:r w:rsidR="001A425C" w:rsidRPr="001E4965">
        <w:rPr>
          <w:rFonts w:ascii="Palatino Linotype" w:hAnsi="Palatino Linotype" w:cs="Arial"/>
          <w:shd w:val="clear" w:color="auto" w:fill="FFFFFF"/>
        </w:rPr>
        <w:t>and sustainable city, save</w:t>
      </w:r>
      <w:r w:rsidR="0067789E" w:rsidRPr="001E4965">
        <w:rPr>
          <w:rFonts w:ascii="Palatino Linotype" w:hAnsi="Palatino Linotype" w:cs="Arial"/>
          <w:shd w:val="clear" w:color="auto" w:fill="FFFFFF"/>
        </w:rPr>
        <w:t xml:space="preserve"> its</w:t>
      </w:r>
      <w:r w:rsidR="00AE71B9" w:rsidRPr="001E4965">
        <w:rPr>
          <w:rFonts w:ascii="Palatino Linotype" w:hAnsi="Palatino Linotype" w:cs="Arial"/>
          <w:shd w:val="clear" w:color="auto" w:fill="FFFFFF"/>
        </w:rPr>
        <w:t xml:space="preserve"> compelling needs for </w:t>
      </w:r>
      <w:r w:rsidR="00010B8C" w:rsidRPr="001E4965">
        <w:rPr>
          <w:rFonts w:ascii="Palatino Linotype" w:hAnsi="Palatino Linotype" w:cs="Arial"/>
          <w:shd w:val="clear" w:color="auto" w:fill="FFFFFF"/>
        </w:rPr>
        <w:t xml:space="preserve">more </w:t>
      </w:r>
      <w:r w:rsidR="00DC2F25">
        <w:rPr>
          <w:rFonts w:ascii="Palatino Linotype" w:hAnsi="Palatino Linotype" w:cs="Arial"/>
          <w:shd w:val="clear" w:color="auto" w:fill="FFFFFF"/>
        </w:rPr>
        <w:t xml:space="preserve">housing, </w:t>
      </w:r>
      <w:r w:rsidR="00010B8C" w:rsidRPr="001E4965">
        <w:rPr>
          <w:rFonts w:ascii="Palatino Linotype" w:hAnsi="Palatino Linotype" w:cs="Arial"/>
          <w:shd w:val="clear" w:color="auto" w:fill="FFFFFF"/>
        </w:rPr>
        <w:t xml:space="preserve">more </w:t>
      </w:r>
      <w:r w:rsidR="00DC2F25">
        <w:rPr>
          <w:rFonts w:ascii="Palatino Linotype" w:hAnsi="Palatino Linotype" w:cs="Arial"/>
          <w:shd w:val="clear" w:color="auto" w:fill="FFFFFF"/>
        </w:rPr>
        <w:t>workforce, and</w:t>
      </w:r>
      <w:r w:rsidR="00AE71B9" w:rsidRPr="001E4965">
        <w:rPr>
          <w:rFonts w:ascii="Palatino Linotype" w:hAnsi="Palatino Linotype" w:cs="Arial"/>
          <w:shd w:val="clear" w:color="auto" w:fill="FFFFFF"/>
        </w:rPr>
        <w:t xml:space="preserve"> </w:t>
      </w:r>
      <w:r w:rsidR="00010B8C" w:rsidRPr="001E4965">
        <w:rPr>
          <w:rFonts w:ascii="Palatino Linotype" w:hAnsi="Palatino Linotype" w:cs="Arial"/>
          <w:shd w:val="clear" w:color="auto" w:fill="FFFFFF"/>
        </w:rPr>
        <w:t xml:space="preserve">more </w:t>
      </w:r>
      <w:r w:rsidR="00AE71B9" w:rsidRPr="001E4965">
        <w:rPr>
          <w:rFonts w:ascii="Palatino Linotype" w:hAnsi="Palatino Linotype" w:cs="Arial"/>
          <w:shd w:val="clear" w:color="auto" w:fill="FFFFFF"/>
        </w:rPr>
        <w:t>public</w:t>
      </w:r>
      <w:r w:rsidR="00010B8C" w:rsidRPr="001E4965">
        <w:rPr>
          <w:rFonts w:ascii="Palatino Linotype" w:hAnsi="Palatino Linotype" w:cs="Arial"/>
          <w:shd w:val="clear" w:color="auto" w:fill="FFFFFF"/>
        </w:rPr>
        <w:t xml:space="preserve"> capital</w:t>
      </w:r>
      <w:r w:rsidR="00AE71B9" w:rsidRPr="001E4965">
        <w:rPr>
          <w:rFonts w:ascii="Palatino Linotype" w:hAnsi="Palatino Linotype" w:cs="Arial"/>
          <w:shd w:val="clear" w:color="auto" w:fill="FFFFFF"/>
        </w:rPr>
        <w:t xml:space="preserve"> investment.</w:t>
      </w:r>
    </w:p>
    <w:p w:rsidR="00FD20D3" w:rsidRDefault="00FD20D3" w:rsidP="001171C3">
      <w:pPr>
        <w:spacing w:after="120" w:line="360" w:lineRule="auto"/>
        <w:rPr>
          <w:rFonts w:ascii="Palatino Linotype" w:hAnsi="Palatino Linotype" w:cs="Arial"/>
          <w:color w:val="222222"/>
          <w:shd w:val="clear" w:color="auto" w:fill="FFFFFF"/>
        </w:rPr>
      </w:pPr>
      <w:r>
        <w:rPr>
          <w:rFonts w:ascii="Palatino Linotype" w:hAnsi="Palatino Linotype" w:cs="Arial"/>
          <w:color w:val="222222"/>
          <w:shd w:val="clear" w:color="auto" w:fill="FFFFFF"/>
        </w:rPr>
        <w:t>In the 400 years since</w:t>
      </w:r>
      <w:r w:rsidRPr="006115A1">
        <w:rPr>
          <w:rFonts w:ascii="Palatino Linotype" w:hAnsi="Palatino Linotype" w:cs="Arial"/>
          <w:color w:val="222222"/>
          <w:shd w:val="clear" w:color="auto" w:fill="FFFFFF"/>
        </w:rPr>
        <w:t xml:space="preserve"> European s</w:t>
      </w:r>
      <w:r w:rsidR="00E44842">
        <w:rPr>
          <w:rFonts w:ascii="Palatino Linotype" w:hAnsi="Palatino Linotype" w:cs="Arial"/>
          <w:color w:val="222222"/>
          <w:shd w:val="clear" w:color="auto" w:fill="FFFFFF"/>
        </w:rPr>
        <w:t>ettlement</w:t>
      </w:r>
      <w:r>
        <w:rPr>
          <w:rFonts w:ascii="Palatino Linotype" w:hAnsi="Palatino Linotype" w:cs="Arial"/>
          <w:color w:val="222222"/>
          <w:shd w:val="clear" w:color="auto" w:fill="FFFFFF"/>
        </w:rPr>
        <w:t xml:space="preserve">, </w:t>
      </w:r>
      <w:r w:rsidRPr="006115A1">
        <w:rPr>
          <w:rFonts w:ascii="Palatino Linotype" w:hAnsi="Palatino Linotype" w:cs="Arial"/>
          <w:color w:val="222222"/>
          <w:shd w:val="clear" w:color="auto" w:fill="FFFFFF"/>
        </w:rPr>
        <w:t>Portland has</w:t>
      </w:r>
      <w:r>
        <w:rPr>
          <w:rFonts w:ascii="Palatino Linotype" w:hAnsi="Palatino Linotype" w:cs="Arial"/>
          <w:color w:val="222222"/>
          <w:shd w:val="clear" w:color="auto" w:fill="FFFFFF"/>
        </w:rPr>
        <w:t xml:space="preserve"> </w:t>
      </w:r>
      <w:r w:rsidRPr="006115A1">
        <w:rPr>
          <w:rFonts w:ascii="Palatino Linotype" w:hAnsi="Palatino Linotype" w:cs="Arial"/>
          <w:color w:val="222222"/>
          <w:shd w:val="clear" w:color="auto" w:fill="FFFFFF"/>
        </w:rPr>
        <w:t xml:space="preserve">survived </w:t>
      </w:r>
      <w:r w:rsidR="00E44842">
        <w:rPr>
          <w:rFonts w:ascii="Palatino Linotype" w:hAnsi="Palatino Linotype" w:cs="Arial"/>
          <w:color w:val="222222"/>
          <w:shd w:val="clear" w:color="auto" w:fill="FFFFFF"/>
        </w:rPr>
        <w:t>the repeated</w:t>
      </w:r>
      <w:r w:rsidRPr="006115A1">
        <w:rPr>
          <w:rFonts w:ascii="Palatino Linotype" w:hAnsi="Palatino Linotype" w:cs="Arial"/>
          <w:color w:val="222222"/>
          <w:shd w:val="clear" w:color="auto" w:fill="FFFFFF"/>
        </w:rPr>
        <w:t xml:space="preserve"> ravages of war, invasion, pestilence, conflagration, and economic depression and recession. Once a renowned manufacturing,</w:t>
      </w:r>
      <w:r>
        <w:rPr>
          <w:rFonts w:ascii="Palatino Linotype" w:hAnsi="Palatino Linotype" w:cs="Arial"/>
          <w:color w:val="222222"/>
          <w:shd w:val="clear" w:color="auto" w:fill="FFFFFF"/>
        </w:rPr>
        <w:t xml:space="preserve"> trade, and shipping center, it now</w:t>
      </w:r>
      <w:r w:rsidRPr="006115A1">
        <w:rPr>
          <w:rFonts w:ascii="Palatino Linotype" w:hAnsi="Palatino Linotype" w:cs="Arial"/>
          <w:color w:val="222222"/>
          <w:shd w:val="clear" w:color="auto" w:fill="FFFFFF"/>
        </w:rPr>
        <w:t xml:space="preserve"> </w:t>
      </w:r>
      <w:r w:rsidRPr="006115A1">
        <w:rPr>
          <w:rFonts w:ascii="Palatino Linotype" w:hAnsi="Palatino Linotype"/>
        </w:rPr>
        <w:t>enjoys what might be called a post-industrial renaissance</w:t>
      </w:r>
      <w:r>
        <w:rPr>
          <w:rFonts w:ascii="Palatino Linotype" w:hAnsi="Palatino Linotype"/>
        </w:rPr>
        <w:t xml:space="preserve"> as</w:t>
      </w:r>
      <w:r w:rsidRPr="00700B5F">
        <w:rPr>
          <w:rFonts w:ascii="Palatino Linotype" w:hAnsi="Palatino Linotype" w:cs="Arial"/>
          <w:color w:val="222222"/>
          <w:shd w:val="clear" w:color="auto" w:fill="FFFFFF"/>
        </w:rPr>
        <w:t xml:space="preserve"> </w:t>
      </w:r>
      <w:r w:rsidR="009464A2">
        <w:rPr>
          <w:rFonts w:ascii="Palatino Linotype" w:hAnsi="Palatino Linotype" w:cs="Arial"/>
          <w:color w:val="222222"/>
          <w:shd w:val="clear" w:color="auto" w:fill="FFFFFF"/>
        </w:rPr>
        <w:t xml:space="preserve">a </w:t>
      </w:r>
      <w:r w:rsidRPr="006115A1">
        <w:rPr>
          <w:rFonts w:ascii="Palatino Linotype" w:hAnsi="Palatino Linotype" w:cs="Arial"/>
          <w:color w:val="222222"/>
          <w:shd w:val="clear" w:color="auto" w:fill="FFFFFF"/>
        </w:rPr>
        <w:t xml:space="preserve">vibrant center for the arts, education, entertainment, and banking, legal, and medical services; and is frequently cited as one of America’s best small cities in which to live, work, play, and visit. </w:t>
      </w:r>
    </w:p>
    <w:p w:rsidR="00D91ED1" w:rsidRDefault="00A17527" w:rsidP="00D91ED1">
      <w:pPr>
        <w:spacing w:after="120" w:line="360" w:lineRule="auto"/>
        <w:rPr>
          <w:rFonts w:ascii="Palatino Linotype" w:hAnsi="Palatino Linotype" w:cs="Arial"/>
          <w:color w:val="222222"/>
          <w:shd w:val="clear" w:color="auto" w:fill="FFFFFF"/>
        </w:rPr>
      </w:pPr>
      <w:r>
        <w:rPr>
          <w:rFonts w:ascii="Palatino Linotype" w:hAnsi="Palatino Linotype" w:cs="Arial"/>
          <w:color w:val="222222"/>
          <w:shd w:val="clear" w:color="auto" w:fill="FFFFFF"/>
        </w:rPr>
        <w:t>As a result, Portland is growing today and is positioned for more</w:t>
      </w:r>
      <w:r w:rsidR="00734A50">
        <w:rPr>
          <w:rFonts w:ascii="Palatino Linotype" w:hAnsi="Palatino Linotype" w:cs="Arial"/>
          <w:color w:val="222222"/>
          <w:shd w:val="clear" w:color="auto" w:fill="FFFFFF"/>
        </w:rPr>
        <w:t xml:space="preserve"> growth</w:t>
      </w:r>
      <w:r w:rsidR="0046732D">
        <w:rPr>
          <w:rFonts w:ascii="Palatino Linotype" w:hAnsi="Palatino Linotype" w:cs="Arial"/>
          <w:color w:val="222222"/>
          <w:shd w:val="clear" w:color="auto" w:fill="FFFFFF"/>
        </w:rPr>
        <w:t>, most likely</w:t>
      </w:r>
      <w:r>
        <w:rPr>
          <w:rFonts w:ascii="Palatino Linotype" w:hAnsi="Palatino Linotype" w:cs="Arial"/>
          <w:color w:val="222222"/>
          <w:shd w:val="clear" w:color="auto" w:fill="FFFFFF"/>
        </w:rPr>
        <w:t xml:space="preserve"> </w:t>
      </w:r>
      <w:r w:rsidRPr="00726991">
        <w:rPr>
          <w:rFonts w:ascii="Palatino Linotype" w:hAnsi="Palatino Linotype" w:cs="Arial"/>
          <w:i/>
          <w:color w:val="222222"/>
          <w:shd w:val="clear" w:color="auto" w:fill="FFFFFF"/>
        </w:rPr>
        <w:t xml:space="preserve">much </w:t>
      </w:r>
      <w:r w:rsidR="00E44842">
        <w:rPr>
          <w:rFonts w:ascii="Palatino Linotype" w:hAnsi="Palatino Linotype" w:cs="Arial"/>
          <w:color w:val="222222"/>
          <w:shd w:val="clear" w:color="auto" w:fill="FFFFFF"/>
        </w:rPr>
        <w:t>more. Since 2014 it</w:t>
      </w:r>
      <w:r>
        <w:rPr>
          <w:rFonts w:ascii="Palatino Linotype" w:hAnsi="Palatino Linotype" w:cs="Arial"/>
          <w:color w:val="222222"/>
          <w:shd w:val="clear" w:color="auto" w:fill="FFFFFF"/>
        </w:rPr>
        <w:t xml:space="preserve"> has approved more than 1600 new housing units, of which almost half are in construction or complete; and if the market continues its present course,</w:t>
      </w:r>
      <w:r w:rsidR="00734A50">
        <w:rPr>
          <w:rFonts w:ascii="Palatino Linotype" w:hAnsi="Palatino Linotype" w:cs="Arial"/>
          <w:color w:val="222222"/>
          <w:shd w:val="clear" w:color="auto" w:fill="FFFFFF"/>
        </w:rPr>
        <w:t xml:space="preserve"> </w:t>
      </w:r>
      <w:r w:rsidR="00E44842">
        <w:rPr>
          <w:rFonts w:ascii="Palatino Linotype" w:hAnsi="Palatino Linotype" w:cs="Arial"/>
          <w:color w:val="222222"/>
          <w:shd w:val="clear" w:color="auto" w:fill="FFFFFF"/>
        </w:rPr>
        <w:t xml:space="preserve">the city </w:t>
      </w:r>
      <w:r w:rsidR="00734A50">
        <w:rPr>
          <w:rFonts w:ascii="Palatino Linotype" w:hAnsi="Palatino Linotype" w:cs="Arial"/>
          <w:color w:val="222222"/>
          <w:shd w:val="clear" w:color="auto" w:fill="FFFFFF"/>
        </w:rPr>
        <w:t>could</w:t>
      </w:r>
      <w:r w:rsidR="00065837">
        <w:rPr>
          <w:rFonts w:ascii="Palatino Linotype" w:hAnsi="Palatino Linotype" w:cs="Arial"/>
          <w:color w:val="222222"/>
          <w:shd w:val="clear" w:color="auto" w:fill="FFFFFF"/>
        </w:rPr>
        <w:t xml:space="preserve"> soon</w:t>
      </w:r>
      <w:r>
        <w:rPr>
          <w:rFonts w:ascii="Palatino Linotype" w:hAnsi="Palatino Linotype" w:cs="Arial"/>
          <w:color w:val="222222"/>
          <w:shd w:val="clear" w:color="auto" w:fill="FFFFFF"/>
        </w:rPr>
        <w:t xml:space="preserve"> </w:t>
      </w:r>
      <w:r w:rsidR="009464A2">
        <w:rPr>
          <w:rFonts w:ascii="Palatino Linotype" w:hAnsi="Palatino Linotype" w:cs="Arial"/>
          <w:color w:val="222222"/>
          <w:shd w:val="clear" w:color="auto" w:fill="FFFFFF"/>
        </w:rPr>
        <w:t>realize</w:t>
      </w:r>
      <w:r w:rsidR="00734A50">
        <w:rPr>
          <w:rFonts w:ascii="Palatino Linotype" w:hAnsi="Palatino Linotype" w:cs="Arial"/>
          <w:color w:val="222222"/>
          <w:shd w:val="clear" w:color="auto" w:fill="FFFFFF"/>
        </w:rPr>
        <w:t xml:space="preserve"> a total of 2700,</w:t>
      </w:r>
      <w:r w:rsidR="009464A2">
        <w:rPr>
          <w:rFonts w:ascii="Palatino Linotype" w:hAnsi="Palatino Linotype" w:cs="Arial"/>
          <w:color w:val="222222"/>
          <w:shd w:val="clear" w:color="auto" w:fill="FFFFFF"/>
        </w:rPr>
        <w:t xml:space="preserve"> an 8 percent increase in its total number of </w:t>
      </w:r>
      <w:r>
        <w:rPr>
          <w:rFonts w:ascii="Palatino Linotype" w:hAnsi="Palatino Linotype" w:cs="Arial"/>
          <w:color w:val="222222"/>
          <w:shd w:val="clear" w:color="auto" w:fill="FFFFFF"/>
        </w:rPr>
        <w:t>housing units</w:t>
      </w:r>
      <w:r w:rsidR="00734A50">
        <w:rPr>
          <w:rFonts w:ascii="Palatino Linotype" w:hAnsi="Palatino Linotype" w:cs="Arial"/>
          <w:color w:val="222222"/>
          <w:shd w:val="clear" w:color="auto" w:fill="FFFFFF"/>
        </w:rPr>
        <w:t>.</w:t>
      </w:r>
      <w:r w:rsidR="00734A50">
        <w:rPr>
          <w:rStyle w:val="FootnoteReference"/>
          <w:rFonts w:ascii="Palatino Linotype" w:hAnsi="Palatino Linotype" w:cs="Arial"/>
          <w:color w:val="222222"/>
          <w:shd w:val="clear" w:color="auto" w:fill="FFFFFF"/>
        </w:rPr>
        <w:footnoteReference w:id="2"/>
      </w:r>
      <w:r w:rsidR="00234CBC">
        <w:rPr>
          <w:rFonts w:ascii="Palatino Linotype" w:hAnsi="Palatino Linotype" w:cs="Arial"/>
          <w:color w:val="222222"/>
          <w:shd w:val="clear" w:color="auto" w:fill="FFFFFF"/>
        </w:rPr>
        <w:t xml:space="preserve">  Meanwhile, forces loose in the world position Portland for even greater growth. These include </w:t>
      </w:r>
      <w:r w:rsidR="00234CBC" w:rsidRPr="00EA32F2">
        <w:rPr>
          <w:rFonts w:ascii="Palatino Linotype" w:eastAsia="Times New Roman" w:hAnsi="Palatino Linotype" w:cs="Times New Roman"/>
        </w:rPr>
        <w:t>the job-creating spread effects of a resurgent Boston, the workforce demands of a post-industrial economy, the new att</w:t>
      </w:r>
      <w:r w:rsidR="00234CBC">
        <w:rPr>
          <w:rFonts w:ascii="Palatino Linotype" w:eastAsia="Times New Roman" w:hAnsi="Palatino Linotype" w:cs="Times New Roman"/>
        </w:rPr>
        <w:t>ractiveness of cities to the young and old</w:t>
      </w:r>
      <w:r w:rsidR="00234CBC" w:rsidRPr="00EA32F2">
        <w:rPr>
          <w:rFonts w:ascii="Palatino Linotype" w:eastAsia="Times New Roman" w:hAnsi="Palatino Linotype" w:cs="Times New Roman"/>
        </w:rPr>
        <w:t xml:space="preserve"> alike, the global migration of displaced peoples, and even the warming effects of climate change. </w:t>
      </w:r>
    </w:p>
    <w:p w:rsidR="0017528E" w:rsidRDefault="009464A2" w:rsidP="0017528E">
      <w:pPr>
        <w:spacing w:after="120" w:line="360" w:lineRule="auto"/>
        <w:rPr>
          <w:rFonts w:ascii="Palatino Linotype" w:hAnsi="Palatino Linotype"/>
        </w:rPr>
      </w:pPr>
      <w:r>
        <w:rPr>
          <w:rFonts w:ascii="Palatino Linotype" w:eastAsia="Times New Roman" w:hAnsi="Palatino Linotype" w:cs="Times New Roman"/>
        </w:rPr>
        <w:t>The question, then,</w:t>
      </w:r>
      <w:r w:rsidR="00E12D14" w:rsidRPr="00772F84">
        <w:rPr>
          <w:rFonts w:ascii="Palatino Linotype" w:eastAsia="Times New Roman" w:hAnsi="Palatino Linotype" w:cs="Times New Roman"/>
        </w:rPr>
        <w:t xml:space="preserve"> is not </w:t>
      </w:r>
      <w:r w:rsidR="00E12D14" w:rsidRPr="00772F84">
        <w:rPr>
          <w:rFonts w:ascii="Palatino Linotype" w:eastAsia="Times New Roman" w:hAnsi="Palatino Linotype" w:cs="Times New Roman"/>
          <w:i/>
        </w:rPr>
        <w:t>whether</w:t>
      </w:r>
      <w:r w:rsidR="00E12D14" w:rsidRPr="00772F84">
        <w:rPr>
          <w:rFonts w:ascii="Palatino Linotype" w:eastAsia="Times New Roman" w:hAnsi="Palatino Linotype" w:cs="Times New Roman"/>
        </w:rPr>
        <w:t xml:space="preserve"> Portland will grow, but</w:t>
      </w:r>
      <w:r w:rsidR="00E12D14">
        <w:rPr>
          <w:rFonts w:ascii="Palatino Linotype" w:eastAsia="Times New Roman" w:hAnsi="Palatino Linotype" w:cs="Times New Roman"/>
        </w:rPr>
        <w:t xml:space="preserve"> </w:t>
      </w:r>
      <w:r w:rsidR="00E12D14" w:rsidRPr="00E12D14">
        <w:rPr>
          <w:rFonts w:ascii="Palatino Linotype" w:eastAsia="Times New Roman" w:hAnsi="Palatino Linotype" w:cs="Times New Roman"/>
          <w:i/>
        </w:rPr>
        <w:t>how well</w:t>
      </w:r>
      <w:r>
        <w:rPr>
          <w:rFonts w:ascii="Palatino Linotype" w:eastAsia="Times New Roman" w:hAnsi="Palatino Linotype" w:cs="Times New Roman"/>
        </w:rPr>
        <w:t xml:space="preserve"> it will grow; or,</w:t>
      </w:r>
      <w:r w:rsidR="00E12D14" w:rsidRPr="00772F84">
        <w:rPr>
          <w:rFonts w:ascii="Palatino Linotype" w:eastAsia="Times New Roman" w:hAnsi="Palatino Linotype" w:cs="Times New Roman"/>
        </w:rPr>
        <w:t xml:space="preserve"> </w:t>
      </w:r>
      <w:r w:rsidR="00E12D14" w:rsidRPr="00772F84">
        <w:rPr>
          <w:rFonts w:ascii="Palatino Linotype" w:eastAsia="Times New Roman" w:hAnsi="Palatino Linotype" w:cs="Times New Roman"/>
          <w:i/>
          <w:iCs/>
        </w:rPr>
        <w:t xml:space="preserve">how best </w:t>
      </w:r>
      <w:r w:rsidR="00E12D14" w:rsidRPr="00772F84">
        <w:rPr>
          <w:rFonts w:ascii="Palatino Linotype" w:eastAsia="Times New Roman" w:hAnsi="Palatino Linotype" w:cs="Times New Roman"/>
        </w:rPr>
        <w:t xml:space="preserve">to manage the growth that is now certain to come. Will this growth be reactive, driven solely by </w:t>
      </w:r>
      <w:r w:rsidR="00E12D14">
        <w:rPr>
          <w:rFonts w:ascii="Palatino Linotype" w:eastAsia="Times New Roman" w:hAnsi="Palatino Linotype" w:cs="Times New Roman"/>
        </w:rPr>
        <w:lastRenderedPageBreak/>
        <w:t>market</w:t>
      </w:r>
      <w:r w:rsidR="00E12D14" w:rsidRPr="00772F84">
        <w:rPr>
          <w:rFonts w:ascii="Palatino Linotype" w:eastAsia="Times New Roman" w:hAnsi="Palatino Linotype" w:cs="Times New Roman"/>
        </w:rPr>
        <w:t xml:space="preserve"> forces and </w:t>
      </w:r>
      <w:r w:rsidR="00E12D14">
        <w:rPr>
          <w:rFonts w:ascii="Palatino Linotype" w:eastAsia="Times New Roman" w:hAnsi="Palatino Linotype" w:cs="Times New Roman"/>
        </w:rPr>
        <w:t xml:space="preserve">the </w:t>
      </w:r>
      <w:r w:rsidR="00E12D14" w:rsidRPr="00772F84">
        <w:rPr>
          <w:rFonts w:ascii="Palatino Linotype" w:eastAsia="Times New Roman" w:hAnsi="Palatino Linotype" w:cs="Times New Roman"/>
        </w:rPr>
        <w:t>d</w:t>
      </w:r>
      <w:r w:rsidR="00E12D14">
        <w:rPr>
          <w:rFonts w:ascii="Palatino Linotype" w:eastAsia="Times New Roman" w:hAnsi="Palatino Linotype" w:cs="Times New Roman"/>
        </w:rPr>
        <w:t>rive</w:t>
      </w:r>
      <w:r w:rsidR="00E12D14" w:rsidRPr="00772F84">
        <w:rPr>
          <w:rFonts w:ascii="Palatino Linotype" w:eastAsia="Times New Roman" w:hAnsi="Palatino Linotype" w:cs="Times New Roman"/>
        </w:rPr>
        <w:t xml:space="preserve"> for </w:t>
      </w:r>
      <w:r w:rsidR="00E12D14">
        <w:rPr>
          <w:rFonts w:ascii="Palatino Linotype" w:eastAsia="Times New Roman" w:hAnsi="Palatino Linotype" w:cs="Times New Roman"/>
        </w:rPr>
        <w:t>profit? Or</w:t>
      </w:r>
      <w:r w:rsidR="00E12D14" w:rsidRPr="00772F84">
        <w:rPr>
          <w:rFonts w:ascii="Palatino Linotype" w:eastAsia="Times New Roman" w:hAnsi="Palatino Linotype" w:cs="Times New Roman"/>
        </w:rPr>
        <w:t xml:space="preserve"> will it, as well, be </w:t>
      </w:r>
      <w:r w:rsidR="00E12D14" w:rsidRPr="009464A2">
        <w:rPr>
          <w:rFonts w:ascii="Palatino Linotype" w:eastAsia="Times New Roman" w:hAnsi="Palatino Linotype" w:cs="Times New Roman"/>
          <w:i/>
        </w:rPr>
        <w:t>intentional</w:t>
      </w:r>
      <w:r>
        <w:rPr>
          <w:rFonts w:ascii="Palatino Linotype" w:eastAsia="Times New Roman" w:hAnsi="Palatino Linotype" w:cs="Times New Roman"/>
        </w:rPr>
        <w:t>, responsive to longstanding</w:t>
      </w:r>
      <w:r w:rsidR="00E12D14" w:rsidRPr="00772F84">
        <w:rPr>
          <w:rFonts w:ascii="Palatino Linotype" w:eastAsia="Times New Roman" w:hAnsi="Palatino Linotype" w:cs="Times New Roman"/>
        </w:rPr>
        <w:t xml:space="preserve"> </w:t>
      </w:r>
      <w:r w:rsidR="00E12D14">
        <w:rPr>
          <w:rFonts w:ascii="Palatino Linotype" w:eastAsia="Times New Roman" w:hAnsi="Palatino Linotype" w:cs="Times New Roman"/>
        </w:rPr>
        <w:t xml:space="preserve">traditions and </w:t>
      </w:r>
      <w:r>
        <w:rPr>
          <w:rFonts w:ascii="Palatino Linotype" w:eastAsia="Times New Roman" w:hAnsi="Palatino Linotype" w:cs="Times New Roman"/>
        </w:rPr>
        <w:t xml:space="preserve">public </w:t>
      </w:r>
      <w:r w:rsidR="00E12D14">
        <w:rPr>
          <w:rFonts w:ascii="Palatino Linotype" w:eastAsia="Times New Roman" w:hAnsi="Palatino Linotype" w:cs="Times New Roman"/>
        </w:rPr>
        <w:t>values</w:t>
      </w:r>
      <w:r>
        <w:rPr>
          <w:rFonts w:ascii="Palatino Linotype" w:eastAsia="Times New Roman" w:hAnsi="Palatino Linotype" w:cs="Times New Roman"/>
        </w:rPr>
        <w:t>,</w:t>
      </w:r>
      <w:r w:rsidR="00E12D14" w:rsidRPr="00772F84">
        <w:rPr>
          <w:rFonts w:ascii="Palatino Linotype" w:eastAsia="Times New Roman" w:hAnsi="Palatino Linotype" w:cs="Times New Roman"/>
        </w:rPr>
        <w:t xml:space="preserve"> </w:t>
      </w:r>
      <w:r w:rsidR="00C41B5C">
        <w:rPr>
          <w:rFonts w:ascii="Palatino Linotype" w:eastAsia="Times New Roman" w:hAnsi="Palatino Linotype" w:cs="Times New Roman"/>
        </w:rPr>
        <w:t xml:space="preserve">and </w:t>
      </w:r>
      <w:r w:rsidR="00E12D14" w:rsidRPr="00772F84">
        <w:rPr>
          <w:rFonts w:ascii="Palatino Linotype" w:eastAsia="Times New Roman" w:hAnsi="Palatino Linotype" w:cs="Times New Roman"/>
        </w:rPr>
        <w:t xml:space="preserve">lead to an ever-more attractive place in which to live, work, and play? </w:t>
      </w:r>
      <w:r w:rsidR="00E12D14" w:rsidRPr="00B158E0">
        <w:rPr>
          <w:rFonts w:ascii="Palatino Linotype" w:hAnsi="Palatino Linotype"/>
        </w:rPr>
        <w:t>Will it be a city designed especially</w:t>
      </w:r>
      <w:r w:rsidR="00E12D14">
        <w:rPr>
          <w:rFonts w:ascii="Palatino Linotype" w:hAnsi="Palatino Linotype"/>
        </w:rPr>
        <w:t xml:space="preserve"> to accommodate</w:t>
      </w:r>
      <w:r w:rsidR="00E12D14" w:rsidRPr="00B158E0">
        <w:rPr>
          <w:rFonts w:ascii="Palatino Linotype" w:hAnsi="Palatino Linotype"/>
        </w:rPr>
        <w:t xml:space="preserve"> cars, or will </w:t>
      </w:r>
      <w:r w:rsidR="00065837">
        <w:rPr>
          <w:rFonts w:ascii="Palatino Linotype" w:hAnsi="Palatino Linotype"/>
        </w:rPr>
        <w:t>it return to a more livable place</w:t>
      </w:r>
      <w:r w:rsidR="00E12D14" w:rsidRPr="00B158E0">
        <w:rPr>
          <w:rFonts w:ascii="Palatino Linotype" w:hAnsi="Palatino Linotype"/>
        </w:rPr>
        <w:t xml:space="preserve"> of connected neighborhoods</w:t>
      </w:r>
      <w:r w:rsidR="00E12D14">
        <w:rPr>
          <w:rFonts w:ascii="Palatino Linotype" w:hAnsi="Palatino Linotype"/>
        </w:rPr>
        <w:t xml:space="preserve">, </w:t>
      </w:r>
      <w:r w:rsidR="00E12D14" w:rsidRPr="00B158E0">
        <w:rPr>
          <w:rFonts w:ascii="Palatino Linotype" w:hAnsi="Palatino Linotype"/>
        </w:rPr>
        <w:t xml:space="preserve">each with its own </w:t>
      </w:r>
      <w:r>
        <w:rPr>
          <w:rFonts w:ascii="Palatino Linotype" w:hAnsi="Palatino Linotype"/>
        </w:rPr>
        <w:t xml:space="preserve">distinctive </w:t>
      </w:r>
      <w:r w:rsidR="0017528E">
        <w:rPr>
          <w:rFonts w:ascii="Palatino Linotype" w:hAnsi="Palatino Linotype"/>
        </w:rPr>
        <w:t>character?</w:t>
      </w:r>
    </w:p>
    <w:p w:rsidR="00C41B5C" w:rsidRPr="0017528E" w:rsidRDefault="00E12D14" w:rsidP="0017528E">
      <w:pPr>
        <w:spacing w:after="120" w:line="360" w:lineRule="auto"/>
        <w:rPr>
          <w:rFonts w:ascii="Palatino Linotype" w:hAnsi="Palatino Linotype"/>
        </w:rPr>
      </w:pPr>
      <w:r w:rsidRPr="00772F84">
        <w:rPr>
          <w:rFonts w:ascii="Palatino Linotype" w:hAnsi="Palatino Linotype" w:cs="Arial"/>
        </w:rPr>
        <w:t>History is tre</w:t>
      </w:r>
      <w:r w:rsidR="009464A2">
        <w:rPr>
          <w:rFonts w:ascii="Palatino Linotype" w:hAnsi="Palatino Linotype" w:cs="Arial"/>
        </w:rPr>
        <w:t>nding in Portland’s favor today;</w:t>
      </w:r>
      <w:r>
        <w:rPr>
          <w:rFonts w:ascii="Palatino Linotype" w:eastAsia="Times New Roman" w:hAnsi="Palatino Linotype" w:cs="Times New Roman"/>
        </w:rPr>
        <w:t xml:space="preserve"> </w:t>
      </w:r>
      <w:r>
        <w:rPr>
          <w:rFonts w:ascii="Palatino Linotype" w:hAnsi="Palatino Linotype" w:cs="Arial"/>
        </w:rPr>
        <w:t>and if we make the right choices</w:t>
      </w:r>
      <w:r w:rsidR="009464A2">
        <w:rPr>
          <w:rFonts w:ascii="Palatino Linotype" w:hAnsi="Palatino Linotype" w:cs="Arial"/>
        </w:rPr>
        <w:t>,</w:t>
      </w:r>
      <w:r>
        <w:rPr>
          <w:rFonts w:ascii="Palatino Linotype" w:hAnsi="Palatino Linotype" w:cs="Arial"/>
        </w:rPr>
        <w:t xml:space="preserve"> we may be in for a long run as a successful city.</w:t>
      </w:r>
      <w:r w:rsidRPr="0013282E">
        <w:rPr>
          <w:rFonts w:ascii="Palatino Linotype" w:hAnsi="Palatino Linotype"/>
        </w:rPr>
        <w:t xml:space="preserve"> </w:t>
      </w:r>
      <w:r w:rsidR="00965FBD" w:rsidRPr="00F6355C">
        <w:rPr>
          <w:rFonts w:ascii="Palatino Linotype" w:hAnsi="Palatino Linotype"/>
        </w:rPr>
        <w:t xml:space="preserve">Over the past six months </w:t>
      </w:r>
      <w:r w:rsidR="002839E7">
        <w:rPr>
          <w:rFonts w:ascii="Palatino Linotype" w:hAnsi="Palatino Linotype"/>
        </w:rPr>
        <w:t xml:space="preserve">Creative Portland, the Muskie School, the </w:t>
      </w:r>
      <w:r w:rsidR="00965FBD">
        <w:rPr>
          <w:rFonts w:ascii="Palatino Linotype" w:hAnsi="Palatino Linotype"/>
        </w:rPr>
        <w:t>Portland Regional Chamber, and the Portland Society for</w:t>
      </w:r>
      <w:r w:rsidR="006C6164">
        <w:rPr>
          <w:rFonts w:ascii="Palatino Linotype" w:hAnsi="Palatino Linotype"/>
        </w:rPr>
        <w:t xml:space="preserve"> Architecture have collaborated to explore</w:t>
      </w:r>
      <w:r w:rsidR="007145D5">
        <w:rPr>
          <w:rFonts w:ascii="Palatino Linotype" w:hAnsi="Palatino Linotype"/>
        </w:rPr>
        <w:t xml:space="preserve"> the</w:t>
      </w:r>
      <w:r w:rsidR="00325902">
        <w:rPr>
          <w:rFonts w:ascii="Palatino Linotype" w:hAnsi="Palatino Linotype"/>
        </w:rPr>
        <w:t>se</w:t>
      </w:r>
      <w:r w:rsidR="00965FBD">
        <w:rPr>
          <w:rFonts w:ascii="Palatino Linotype" w:hAnsi="Palatino Linotype"/>
        </w:rPr>
        <w:t xml:space="preserve"> question</w:t>
      </w:r>
      <w:r w:rsidR="00325902">
        <w:rPr>
          <w:rFonts w:ascii="Palatino Linotype" w:hAnsi="Palatino Linotype"/>
        </w:rPr>
        <w:t>s.</w:t>
      </w:r>
      <w:r w:rsidR="00965FBD">
        <w:rPr>
          <w:rFonts w:ascii="Palatino Linotype" w:hAnsi="Palatino Linotype"/>
        </w:rPr>
        <w:t xml:space="preserve">  </w:t>
      </w:r>
      <w:r w:rsidR="002839E7">
        <w:rPr>
          <w:rFonts w:ascii="Palatino Linotype" w:hAnsi="Palatino Linotype"/>
        </w:rPr>
        <w:t>We</w:t>
      </w:r>
      <w:r w:rsidR="00065837">
        <w:rPr>
          <w:rFonts w:ascii="Palatino Linotype" w:hAnsi="Palatino Linotype"/>
        </w:rPr>
        <w:t xml:space="preserve"> </w:t>
      </w:r>
      <w:r w:rsidR="002839E7">
        <w:rPr>
          <w:rFonts w:ascii="Palatino Linotype" w:hAnsi="Palatino Linotype"/>
        </w:rPr>
        <w:t>conclude</w:t>
      </w:r>
      <w:r w:rsidR="00C41B5C">
        <w:rPr>
          <w:rFonts w:ascii="Palatino Linotype" w:hAnsi="Palatino Linotype"/>
        </w:rPr>
        <w:t xml:space="preserve"> that:</w:t>
      </w:r>
      <w:r w:rsidR="00965FBD">
        <w:rPr>
          <w:rFonts w:ascii="Palatino Linotype" w:hAnsi="Palatino Linotype"/>
        </w:rPr>
        <w:t xml:space="preserve"> </w:t>
      </w:r>
    </w:p>
    <w:p w:rsidR="00C41B5C" w:rsidRPr="001E4965" w:rsidRDefault="00C41B5C" w:rsidP="0017528E">
      <w:pPr>
        <w:pStyle w:val="ListParagraph"/>
        <w:numPr>
          <w:ilvl w:val="0"/>
          <w:numId w:val="7"/>
        </w:numPr>
        <w:spacing w:after="120" w:line="360" w:lineRule="auto"/>
        <w:rPr>
          <w:rFonts w:ascii="Palatino Linotype" w:hAnsi="Palatino Linotype"/>
        </w:rPr>
      </w:pPr>
      <w:r w:rsidRPr="001E4965">
        <w:rPr>
          <w:rFonts w:ascii="Palatino Linotype" w:hAnsi="Palatino Linotype"/>
        </w:rPr>
        <w:t xml:space="preserve">First, </w:t>
      </w:r>
      <w:r w:rsidR="00965FBD" w:rsidRPr="001E4965">
        <w:rPr>
          <w:rFonts w:ascii="Palatino Linotype" w:hAnsi="Palatino Linotype"/>
        </w:rPr>
        <w:t xml:space="preserve">Portland today faces not one but </w:t>
      </w:r>
      <w:r w:rsidR="0067789E" w:rsidRPr="001E4965">
        <w:rPr>
          <w:rFonts w:ascii="Palatino Linotype" w:hAnsi="Palatino Linotype"/>
          <w:i/>
        </w:rPr>
        <w:t>three</w:t>
      </w:r>
      <w:r w:rsidR="00965FBD" w:rsidRPr="001E4965">
        <w:rPr>
          <w:rFonts w:ascii="Palatino Linotype" w:hAnsi="Palatino Linotype"/>
        </w:rPr>
        <w:t xml:space="preserve"> great challenges, workforce development </w:t>
      </w:r>
      <w:r w:rsidR="00965FBD" w:rsidRPr="001E4965">
        <w:rPr>
          <w:rFonts w:ascii="Palatino Linotype" w:hAnsi="Palatino Linotype"/>
          <w:i/>
        </w:rPr>
        <w:t>and</w:t>
      </w:r>
      <w:r w:rsidR="002839E7" w:rsidRPr="001E4965">
        <w:rPr>
          <w:rFonts w:ascii="Palatino Linotype" w:hAnsi="Palatino Linotype"/>
        </w:rPr>
        <w:t xml:space="preserve"> housing,</w:t>
      </w:r>
      <w:r w:rsidR="00010B8C" w:rsidRPr="001E4965">
        <w:rPr>
          <w:rFonts w:ascii="Palatino Linotype" w:hAnsi="Palatino Linotype"/>
        </w:rPr>
        <w:t xml:space="preserve"> </w:t>
      </w:r>
      <w:r w:rsidR="00965FBD" w:rsidRPr="001E4965">
        <w:rPr>
          <w:rFonts w:ascii="Palatino Linotype" w:hAnsi="Palatino Linotype"/>
        </w:rPr>
        <w:t>two side</w:t>
      </w:r>
      <w:r w:rsidR="0067789E" w:rsidRPr="001E4965">
        <w:rPr>
          <w:rFonts w:ascii="Palatino Linotype" w:hAnsi="Palatino Linotype"/>
        </w:rPr>
        <w:t>s of the same coin, and the need for greater investment in its</w:t>
      </w:r>
      <w:r w:rsidR="00010B8C" w:rsidRPr="001E4965">
        <w:rPr>
          <w:rFonts w:ascii="Palatino Linotype" w:hAnsi="Palatino Linotype"/>
        </w:rPr>
        <w:t xml:space="preserve"> publicly-owned</w:t>
      </w:r>
      <w:r w:rsidR="0067789E" w:rsidRPr="001E4965">
        <w:rPr>
          <w:rFonts w:ascii="Palatino Linotype" w:hAnsi="Palatino Linotype"/>
        </w:rPr>
        <w:t xml:space="preserve"> capital assets;</w:t>
      </w:r>
    </w:p>
    <w:p w:rsidR="00C41B5C" w:rsidRPr="001E4965" w:rsidRDefault="007145D5" w:rsidP="0017528E">
      <w:pPr>
        <w:pStyle w:val="ListParagraph"/>
        <w:numPr>
          <w:ilvl w:val="0"/>
          <w:numId w:val="7"/>
        </w:numPr>
        <w:spacing w:after="120" w:line="360" w:lineRule="auto"/>
        <w:rPr>
          <w:rFonts w:ascii="Palatino Linotype" w:hAnsi="Palatino Linotype" w:cs="Arial"/>
        </w:rPr>
      </w:pPr>
      <w:r w:rsidRPr="001E4965">
        <w:rPr>
          <w:rFonts w:ascii="Palatino Linotype" w:hAnsi="Palatino Linotype"/>
        </w:rPr>
        <w:t>Second,</w:t>
      </w:r>
      <w:r w:rsidR="00965FBD" w:rsidRPr="001E4965">
        <w:rPr>
          <w:rFonts w:ascii="Palatino Linotype" w:hAnsi="Palatino Linotype"/>
        </w:rPr>
        <w:t xml:space="preserve"> </w:t>
      </w:r>
      <w:r w:rsidR="00965FBD" w:rsidRPr="001E4965">
        <w:rPr>
          <w:rFonts w:ascii="Palatino Linotype" w:hAnsi="Palatino Linotype" w:cs="Arial"/>
        </w:rPr>
        <w:t>if Portland is to sustain its current prosperity and fulfill its</w:t>
      </w:r>
      <w:r w:rsidRPr="001E4965">
        <w:rPr>
          <w:rFonts w:ascii="Palatino Linotype" w:hAnsi="Palatino Linotype" w:cs="Arial"/>
        </w:rPr>
        <w:t xml:space="preserve"> vital economic role for all </w:t>
      </w:r>
      <w:r w:rsidR="00965FBD" w:rsidRPr="001E4965">
        <w:rPr>
          <w:rFonts w:ascii="Palatino Linotype" w:hAnsi="Palatino Linotype" w:cs="Arial"/>
        </w:rPr>
        <w:t>Maine, it must grow its workforce, broaden its property tax base, strengthen its schooling, expand its public transit, and – most i</w:t>
      </w:r>
      <w:r w:rsidR="00845B60" w:rsidRPr="001E4965">
        <w:rPr>
          <w:rFonts w:ascii="Palatino Linotype" w:hAnsi="Palatino Linotype" w:cs="Arial"/>
        </w:rPr>
        <w:t>mportantly – create more housing and commerce</w:t>
      </w:r>
      <w:r w:rsidR="00965FBD" w:rsidRPr="001E4965">
        <w:rPr>
          <w:rFonts w:ascii="Palatino Linotype" w:hAnsi="Palatino Linotype" w:cs="Arial"/>
        </w:rPr>
        <w:t xml:space="preserve"> along major thoroughfares and in select neighborhood c</w:t>
      </w:r>
      <w:r w:rsidR="00C41B5C" w:rsidRPr="001E4965">
        <w:rPr>
          <w:rFonts w:ascii="Palatino Linotype" w:hAnsi="Palatino Linotype" w:cs="Arial"/>
        </w:rPr>
        <w:t>enters on and off the peninsula; and</w:t>
      </w:r>
      <w:r w:rsidR="002839E7" w:rsidRPr="001E4965">
        <w:rPr>
          <w:rFonts w:ascii="Palatino Linotype" w:hAnsi="Palatino Linotype" w:cs="Arial"/>
        </w:rPr>
        <w:t xml:space="preserve"> </w:t>
      </w:r>
    </w:p>
    <w:p w:rsidR="00676378" w:rsidRPr="001E4965" w:rsidRDefault="002839E7" w:rsidP="0017528E">
      <w:pPr>
        <w:pStyle w:val="ListParagraph"/>
        <w:numPr>
          <w:ilvl w:val="0"/>
          <w:numId w:val="7"/>
        </w:numPr>
        <w:spacing w:after="120" w:line="360" w:lineRule="auto"/>
        <w:rPr>
          <w:rFonts w:ascii="Palatino Linotype" w:hAnsi="Palatino Linotype"/>
        </w:rPr>
      </w:pPr>
      <w:r w:rsidRPr="001E4965">
        <w:rPr>
          <w:rFonts w:ascii="Palatino Linotype" w:hAnsi="Palatino Linotype" w:cs="Arial"/>
        </w:rPr>
        <w:t xml:space="preserve">Third, </w:t>
      </w:r>
      <w:r w:rsidR="007145D5" w:rsidRPr="001E4965">
        <w:rPr>
          <w:rFonts w:ascii="Palatino Linotype" w:hAnsi="Palatino Linotype" w:cs="Times New Roman"/>
        </w:rPr>
        <w:t>if Portland is to retain and expand its attractiveness</w:t>
      </w:r>
      <w:r w:rsidR="00676378" w:rsidRPr="001E4965">
        <w:rPr>
          <w:rFonts w:ascii="Palatino Linotype" w:hAnsi="Palatino Linotype" w:cs="Times New Roman"/>
        </w:rPr>
        <w:t xml:space="preserve"> as a city</w:t>
      </w:r>
      <w:r w:rsidR="007145D5" w:rsidRPr="001E4965">
        <w:rPr>
          <w:rFonts w:ascii="Palatino Linotype" w:hAnsi="Palatino Linotype" w:cs="Times New Roman"/>
        </w:rPr>
        <w:t>, it</w:t>
      </w:r>
      <w:r w:rsidRPr="001E4965">
        <w:rPr>
          <w:rFonts w:ascii="Palatino Linotype" w:hAnsi="Palatino Linotype" w:cs="Times New Roman"/>
        </w:rPr>
        <w:t xml:space="preserve"> must pay careful attention throughout to </w:t>
      </w:r>
      <w:r w:rsidR="00676378" w:rsidRPr="001E4965">
        <w:rPr>
          <w:rFonts w:ascii="Palatino Linotype" w:hAnsi="Palatino Linotype" w:cs="Times New Roman"/>
        </w:rPr>
        <w:t>matter</w:t>
      </w:r>
      <w:r w:rsidR="0067789E" w:rsidRPr="001E4965">
        <w:rPr>
          <w:rFonts w:ascii="Palatino Linotype" w:hAnsi="Palatino Linotype" w:cs="Times New Roman"/>
        </w:rPr>
        <w:t>s</w:t>
      </w:r>
      <w:r w:rsidR="00676378" w:rsidRPr="001E4965">
        <w:rPr>
          <w:rFonts w:ascii="Palatino Linotype" w:hAnsi="Palatino Linotype" w:cs="Times New Roman"/>
        </w:rPr>
        <w:t xml:space="preserve"> of </w:t>
      </w:r>
      <w:r w:rsidRPr="001E4965">
        <w:rPr>
          <w:rFonts w:ascii="Palatino Linotype" w:hAnsi="Palatino Linotype" w:cs="Times New Roman"/>
        </w:rPr>
        <w:t>good urban</w:t>
      </w:r>
      <w:r w:rsidR="0067789E" w:rsidRPr="001E4965">
        <w:rPr>
          <w:rFonts w:ascii="Palatino Linotype" w:hAnsi="Palatino Linotype" w:cs="Times New Roman"/>
        </w:rPr>
        <w:t xml:space="preserve"> </w:t>
      </w:r>
      <w:r w:rsidR="00010B8C" w:rsidRPr="001E4965">
        <w:rPr>
          <w:rFonts w:ascii="Palatino Linotype" w:hAnsi="Palatino Linotype" w:cs="Times New Roman"/>
        </w:rPr>
        <w:t xml:space="preserve">planning, </w:t>
      </w:r>
      <w:r w:rsidRPr="001E4965">
        <w:rPr>
          <w:rFonts w:ascii="Palatino Linotype" w:hAnsi="Palatino Linotype" w:cs="Times New Roman"/>
        </w:rPr>
        <w:t>design,</w:t>
      </w:r>
      <w:r w:rsidR="00010B8C" w:rsidRPr="001E4965">
        <w:rPr>
          <w:rFonts w:ascii="Palatino Linotype" w:hAnsi="Palatino Linotype" w:cs="Times New Roman"/>
        </w:rPr>
        <w:t xml:space="preserve"> and investment,</w:t>
      </w:r>
      <w:r w:rsidRPr="001E4965">
        <w:rPr>
          <w:rFonts w:ascii="Palatino Linotype" w:hAnsi="Palatino Linotype" w:cs="Times New Roman"/>
        </w:rPr>
        <w:t xml:space="preserve"> learning from other successful cities.</w:t>
      </w:r>
    </w:p>
    <w:p w:rsidR="00010B8C" w:rsidRPr="001E4965" w:rsidRDefault="00010B8C" w:rsidP="00010B8C">
      <w:pPr>
        <w:pStyle w:val="ListParagraph"/>
        <w:spacing w:after="0" w:line="240" w:lineRule="auto"/>
        <w:rPr>
          <w:rFonts w:ascii="Palatino Linotype" w:hAnsi="Palatino Linotype"/>
        </w:rPr>
      </w:pPr>
    </w:p>
    <w:p w:rsidR="00010B8C" w:rsidRPr="001E4965" w:rsidRDefault="0067789E" w:rsidP="0067789E">
      <w:pPr>
        <w:spacing w:after="0" w:line="360" w:lineRule="auto"/>
        <w:rPr>
          <w:rFonts w:ascii="Palatino Linotype" w:hAnsi="Palatino Linotype"/>
          <w:sz w:val="24"/>
          <w:szCs w:val="24"/>
        </w:rPr>
      </w:pPr>
      <w:r w:rsidRPr="001E4965">
        <w:rPr>
          <w:rFonts w:ascii="Palatino Linotype" w:hAnsi="Palatino Linotype"/>
          <w:noProof/>
          <w:sz w:val="24"/>
          <w:szCs w:val="24"/>
        </w:rPr>
        <w:t xml:space="preserve">Here, in simplest terms,  is how this approach to </w:t>
      </w:r>
      <w:r w:rsidR="00010B8C" w:rsidRPr="001E4965">
        <w:rPr>
          <w:rFonts w:ascii="Palatino Linotype" w:hAnsi="Palatino Linotype"/>
          <w:noProof/>
          <w:sz w:val="24"/>
          <w:szCs w:val="24"/>
        </w:rPr>
        <w:t>G</w:t>
      </w:r>
      <w:r w:rsidRPr="001E4965">
        <w:rPr>
          <w:rFonts w:ascii="Palatino Linotype" w:hAnsi="Palatino Linotype"/>
          <w:noProof/>
          <w:sz w:val="24"/>
          <w:szCs w:val="24"/>
        </w:rPr>
        <w:t xml:space="preserve">rowing Portland works: </w:t>
      </w:r>
      <w:r w:rsidR="00065837">
        <w:rPr>
          <w:rFonts w:ascii="Palatino Linotype" w:hAnsi="Palatino Linotype"/>
          <w:sz w:val="24"/>
          <w:szCs w:val="24"/>
        </w:rPr>
        <w:t>r</w:t>
      </w:r>
      <w:r w:rsidRPr="001E4965">
        <w:rPr>
          <w:rFonts w:ascii="Palatino Linotype" w:hAnsi="Palatino Linotype"/>
          <w:sz w:val="24"/>
          <w:szCs w:val="24"/>
        </w:rPr>
        <w:t>esidential and commercial growth, prope</w:t>
      </w:r>
      <w:r w:rsidR="001E4965">
        <w:rPr>
          <w:rFonts w:ascii="Palatino Linotype" w:hAnsi="Palatino Linotype"/>
          <w:sz w:val="24"/>
          <w:szCs w:val="24"/>
        </w:rPr>
        <w:t>rly planned and sited, will increase</w:t>
      </w:r>
      <w:r w:rsidR="00065837">
        <w:rPr>
          <w:rFonts w:ascii="Palatino Linotype" w:hAnsi="Palatino Linotype"/>
          <w:sz w:val="24"/>
          <w:szCs w:val="24"/>
        </w:rPr>
        <w:t xml:space="preserve"> net revenues coming into </w:t>
      </w:r>
      <w:r w:rsidRPr="001E4965">
        <w:rPr>
          <w:rFonts w:ascii="Palatino Linotype" w:hAnsi="Palatino Linotype"/>
          <w:sz w:val="24"/>
          <w:szCs w:val="24"/>
        </w:rPr>
        <w:t>city</w:t>
      </w:r>
      <w:r w:rsidR="00065837">
        <w:rPr>
          <w:rFonts w:ascii="Palatino Linotype" w:hAnsi="Palatino Linotype"/>
          <w:sz w:val="24"/>
          <w:szCs w:val="24"/>
        </w:rPr>
        <w:t xml:space="preserve"> coffers</w:t>
      </w:r>
      <w:r w:rsidRPr="001E4965">
        <w:rPr>
          <w:rFonts w:ascii="Palatino Linotype" w:hAnsi="Palatino Linotype"/>
          <w:sz w:val="24"/>
          <w:szCs w:val="24"/>
        </w:rPr>
        <w:t>. With an effective plan to address its long-term capital needs, the city now has increased resources to invest in its quality of life assets, which attr</w:t>
      </w:r>
      <w:r w:rsidR="00065837">
        <w:rPr>
          <w:rFonts w:ascii="Palatino Linotype" w:hAnsi="Palatino Linotype"/>
          <w:sz w:val="24"/>
          <w:szCs w:val="24"/>
        </w:rPr>
        <w:t>act more people and businesses.</w:t>
      </w:r>
      <w:r w:rsidR="00065837" w:rsidRPr="001E4965">
        <w:rPr>
          <w:rStyle w:val="FootnoteReference"/>
          <w:rFonts w:ascii="Palatino Linotype" w:hAnsi="Palatino Linotype"/>
          <w:noProof/>
          <w:sz w:val="24"/>
          <w:szCs w:val="24"/>
        </w:rPr>
        <w:footnoteReference w:id="3"/>
      </w:r>
    </w:p>
    <w:p w:rsidR="0067789E" w:rsidRPr="00B57E5E" w:rsidRDefault="00010B8C" w:rsidP="00B57E5E">
      <w:pPr>
        <w:spacing w:after="0" w:line="360" w:lineRule="auto"/>
        <w:rPr>
          <w:rFonts w:ascii="Palatino Linotype" w:hAnsi="Palatino Linotype"/>
          <w:sz w:val="24"/>
          <w:szCs w:val="24"/>
        </w:rPr>
      </w:pPr>
      <w:r>
        <w:rPr>
          <w:noProof/>
        </w:rPr>
        <w:lastRenderedPageBreak/>
        <w:drawing>
          <wp:inline distT="0" distB="0" distL="0" distR="0" wp14:anchorId="246F7D68" wp14:editId="642AB434">
            <wp:extent cx="5631180" cy="264414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7789E" w:rsidRPr="0067789E">
        <w:rPr>
          <w:rFonts w:ascii="Palatino Linotype" w:hAnsi="Palatino Linotype"/>
          <w:sz w:val="24"/>
          <w:szCs w:val="24"/>
        </w:rPr>
        <w:t xml:space="preserve"> </w:t>
      </w:r>
      <w:r w:rsidR="00B57E5E">
        <w:rPr>
          <w:rFonts w:ascii="Palatino Linotype" w:hAnsi="Palatino Linotype"/>
        </w:rPr>
        <w:t xml:space="preserve">  This is the generative or “virtuous” cycle of growth, </w:t>
      </w:r>
      <w:r w:rsidR="00C82F0B">
        <w:rPr>
          <w:rFonts w:ascii="Palatino Linotype" w:hAnsi="Palatino Linotype"/>
        </w:rPr>
        <w:t xml:space="preserve">promoting sustainable development; </w:t>
      </w:r>
      <w:r w:rsidR="00B57E5E">
        <w:rPr>
          <w:rFonts w:ascii="Palatino Linotype" w:hAnsi="Palatino Linotype"/>
        </w:rPr>
        <w:t>but</w:t>
      </w:r>
      <w:r w:rsidR="00C82F0B">
        <w:rPr>
          <w:rFonts w:ascii="Palatino Linotype" w:hAnsi="Palatino Linotype"/>
        </w:rPr>
        <w:t xml:space="preserve"> it is</w:t>
      </w:r>
      <w:r w:rsidR="00B57E5E">
        <w:rPr>
          <w:rFonts w:ascii="Palatino Linotype" w:hAnsi="Palatino Linotype"/>
        </w:rPr>
        <w:t xml:space="preserve"> </w:t>
      </w:r>
      <w:r w:rsidR="003E4EEE">
        <w:rPr>
          <w:rFonts w:ascii="Palatino Linotype" w:hAnsi="Palatino Linotype"/>
        </w:rPr>
        <w:t>a cycle</w:t>
      </w:r>
      <w:r w:rsidR="00B57E5E">
        <w:rPr>
          <w:rFonts w:ascii="Palatino Linotype" w:hAnsi="Palatino Linotype"/>
        </w:rPr>
        <w:t xml:space="preserve"> that may become degenerative or “vicious</w:t>
      </w:r>
      <w:r w:rsidR="00C82F0B">
        <w:rPr>
          <w:rFonts w:ascii="Palatino Linotype" w:hAnsi="Palatino Linotype"/>
        </w:rPr>
        <w:t>,</w:t>
      </w:r>
      <w:r w:rsidR="00B57E5E">
        <w:rPr>
          <w:rFonts w:ascii="Palatino Linotype" w:hAnsi="Palatino Linotype"/>
        </w:rPr>
        <w:t xml:space="preserve">” </w:t>
      </w:r>
      <w:r w:rsidR="00C82F0B">
        <w:rPr>
          <w:rFonts w:ascii="Palatino Linotype" w:hAnsi="Palatino Linotype"/>
        </w:rPr>
        <w:t xml:space="preserve">leading to a downward spiral, </w:t>
      </w:r>
      <w:r w:rsidR="004C7B25">
        <w:rPr>
          <w:rFonts w:ascii="Palatino Linotype" w:hAnsi="Palatino Linotype"/>
        </w:rPr>
        <w:t>if the</w:t>
      </w:r>
      <w:r w:rsidR="00B57E5E">
        <w:rPr>
          <w:rFonts w:ascii="Palatino Linotype" w:hAnsi="Palatino Linotype"/>
        </w:rPr>
        <w:t xml:space="preserve"> net revenues</w:t>
      </w:r>
      <w:r w:rsidR="004C7B25">
        <w:rPr>
          <w:rFonts w:ascii="Palatino Linotype" w:hAnsi="Palatino Linotype"/>
        </w:rPr>
        <w:t xml:space="preserve"> of growth</w:t>
      </w:r>
      <w:r w:rsidR="00C82F0B">
        <w:rPr>
          <w:rFonts w:ascii="Palatino Linotype" w:hAnsi="Palatino Linotype"/>
        </w:rPr>
        <w:t xml:space="preserve"> are not</w:t>
      </w:r>
      <w:r w:rsidR="00B57E5E">
        <w:rPr>
          <w:rFonts w:ascii="Palatino Linotype" w:hAnsi="Palatino Linotype"/>
        </w:rPr>
        <w:t xml:space="preserve"> captured and carefully</w:t>
      </w:r>
      <w:r w:rsidR="00C82F0B">
        <w:rPr>
          <w:rFonts w:ascii="Palatino Linotype" w:hAnsi="Palatino Linotype"/>
        </w:rPr>
        <w:t xml:space="preserve"> re</w:t>
      </w:r>
      <w:r w:rsidR="00B57E5E">
        <w:rPr>
          <w:rFonts w:ascii="Palatino Linotype" w:hAnsi="Palatino Linotype"/>
        </w:rPr>
        <w:t xml:space="preserve">invested in the city’s public assets and quality of life.  </w:t>
      </w:r>
    </w:p>
    <w:p w:rsidR="0067789E" w:rsidRPr="0067789E" w:rsidRDefault="0067789E" w:rsidP="0067789E">
      <w:pPr>
        <w:spacing w:after="0" w:line="240" w:lineRule="auto"/>
        <w:rPr>
          <w:rFonts w:ascii="Palatino Linotype" w:hAnsi="Palatino Linotype"/>
        </w:rPr>
      </w:pPr>
    </w:p>
    <w:p w:rsidR="00C41B5C" w:rsidRPr="00C41B5C" w:rsidRDefault="00C41B5C" w:rsidP="00C41B5C">
      <w:pPr>
        <w:pStyle w:val="ListParagraph"/>
        <w:spacing w:after="0" w:line="240" w:lineRule="auto"/>
        <w:rPr>
          <w:rFonts w:ascii="Palatino Linotype" w:hAnsi="Palatino Linotype"/>
        </w:rPr>
      </w:pPr>
    </w:p>
    <w:p w:rsidR="00483177" w:rsidRDefault="00FD20D3" w:rsidP="001171C3">
      <w:pPr>
        <w:spacing w:after="120" w:line="360" w:lineRule="auto"/>
        <w:rPr>
          <w:rFonts w:ascii="Palatino Linotype" w:hAnsi="Palatino Linotype"/>
        </w:rPr>
      </w:pPr>
      <w:r w:rsidRPr="00AF7DEC">
        <w:rPr>
          <w:rFonts w:ascii="Palatino Linotype" w:hAnsi="Palatino Linotype"/>
          <w:b/>
        </w:rPr>
        <w:t xml:space="preserve">The </w:t>
      </w:r>
      <w:r>
        <w:rPr>
          <w:rFonts w:ascii="Palatino Linotype" w:hAnsi="Palatino Linotype"/>
          <w:b/>
        </w:rPr>
        <w:t xml:space="preserve">Renaissance of the Cities. </w:t>
      </w:r>
      <w:r w:rsidRPr="00CF14D8">
        <w:rPr>
          <w:rFonts w:ascii="Palatino Linotype" w:hAnsi="Palatino Linotype"/>
          <w:i/>
        </w:rPr>
        <w:t xml:space="preserve">The </w:t>
      </w:r>
      <w:r w:rsidRPr="00AC67E8">
        <w:rPr>
          <w:rFonts w:ascii="Palatino Linotype" w:hAnsi="Palatino Linotype"/>
          <w:i/>
        </w:rPr>
        <w:t>Bangor Daily News</w:t>
      </w:r>
      <w:r>
        <w:rPr>
          <w:rFonts w:ascii="Palatino Linotype" w:hAnsi="Palatino Linotype"/>
        </w:rPr>
        <w:t xml:space="preserve"> editorial board recently declared</w:t>
      </w:r>
      <w:r w:rsidRPr="00951ABC">
        <w:rPr>
          <w:rFonts w:ascii="Palatino Linotype" w:hAnsi="Palatino Linotype"/>
        </w:rPr>
        <w:t>, “Cities are the way of Maine’s future.  Maine must embrace that reality.”</w:t>
      </w:r>
      <w:r w:rsidRPr="00CF14D8">
        <w:rPr>
          <w:rStyle w:val="FootnoteReference"/>
          <w:rFonts w:ascii="Palatino Linotype" w:hAnsi="Palatino Linotype"/>
        </w:rPr>
        <w:t xml:space="preserve"> </w:t>
      </w:r>
      <w:r>
        <w:rPr>
          <w:rStyle w:val="FootnoteReference"/>
          <w:rFonts w:ascii="Palatino Linotype" w:hAnsi="Palatino Linotype"/>
        </w:rPr>
        <w:footnoteReference w:id="4"/>
      </w:r>
      <w:r>
        <w:rPr>
          <w:rFonts w:ascii="Palatino Linotype" w:hAnsi="Palatino Linotype"/>
        </w:rPr>
        <w:t xml:space="preserve">  It</w:t>
      </w:r>
      <w:r w:rsidRPr="00951ABC">
        <w:rPr>
          <w:rFonts w:ascii="Palatino Linotype" w:hAnsi="Palatino Linotype"/>
        </w:rPr>
        <w:t xml:space="preserve"> </w:t>
      </w:r>
      <w:r w:rsidR="00676378">
        <w:rPr>
          <w:rFonts w:ascii="Palatino Linotype" w:hAnsi="Palatino Linotype"/>
        </w:rPr>
        <w:t>argues</w:t>
      </w:r>
      <w:r>
        <w:rPr>
          <w:rFonts w:ascii="Palatino Linotype" w:hAnsi="Palatino Linotype"/>
        </w:rPr>
        <w:t xml:space="preserve"> </w:t>
      </w:r>
      <w:r w:rsidRPr="00951ABC">
        <w:rPr>
          <w:rFonts w:ascii="Palatino Linotype" w:hAnsi="Palatino Linotype"/>
        </w:rPr>
        <w:t>that even in a rural state like</w:t>
      </w:r>
      <w:r>
        <w:rPr>
          <w:rFonts w:ascii="Palatino Linotype" w:hAnsi="Palatino Linotype"/>
        </w:rPr>
        <w:t xml:space="preserve"> Maine, cities are the engines of </w:t>
      </w:r>
      <w:r w:rsidRPr="00951ABC">
        <w:rPr>
          <w:rFonts w:ascii="Palatino Linotype" w:hAnsi="Palatino Linotype"/>
        </w:rPr>
        <w:t>innovation</w:t>
      </w:r>
      <w:r>
        <w:rPr>
          <w:rFonts w:ascii="Palatino Linotype" w:hAnsi="Palatino Linotype"/>
        </w:rPr>
        <w:t xml:space="preserve"> that n</w:t>
      </w:r>
      <w:r w:rsidR="00726991">
        <w:rPr>
          <w:rFonts w:ascii="Palatino Linotype" w:hAnsi="Palatino Linotype"/>
        </w:rPr>
        <w:t>ow drive</w:t>
      </w:r>
      <w:r w:rsidR="00483177">
        <w:rPr>
          <w:rFonts w:ascii="Palatino Linotype" w:hAnsi="Palatino Linotype"/>
        </w:rPr>
        <w:t xml:space="preserve"> the state’s economy. </w:t>
      </w:r>
      <w:r>
        <w:rPr>
          <w:rFonts w:ascii="Palatino Linotype" w:hAnsi="Palatino Linotype"/>
        </w:rPr>
        <w:t>“Maine’s rural character might distinguish us from other states,</w:t>
      </w:r>
      <w:r w:rsidR="00483177">
        <w:rPr>
          <w:rFonts w:ascii="Palatino Linotype" w:hAnsi="Palatino Linotype"/>
        </w:rPr>
        <w:t>” it concludes, “</w:t>
      </w:r>
      <w:r>
        <w:rPr>
          <w:rFonts w:ascii="Palatino Linotype" w:hAnsi="Palatino Linotype"/>
        </w:rPr>
        <w:t>but its urban areas will more likely than not drive its growth. These urban areas need strong advocates who can make the case for policies that help it along.”</w:t>
      </w:r>
      <w:r>
        <w:rPr>
          <w:rStyle w:val="FootnoteReference"/>
          <w:rFonts w:ascii="Palatino Linotype" w:hAnsi="Palatino Linotype"/>
        </w:rPr>
        <w:footnoteReference w:id="5"/>
      </w:r>
      <w:r>
        <w:rPr>
          <w:rFonts w:ascii="Palatino Linotype" w:hAnsi="Palatino Linotype"/>
        </w:rPr>
        <w:t xml:space="preserve"> </w:t>
      </w:r>
    </w:p>
    <w:p w:rsidR="00FD20D3" w:rsidRPr="00CF52EE" w:rsidRDefault="00FD20D3" w:rsidP="001171C3">
      <w:pPr>
        <w:spacing w:after="120" w:line="360" w:lineRule="auto"/>
        <w:rPr>
          <w:rFonts w:ascii="Palatino Linotype" w:hAnsi="Palatino Linotype" w:cs="Times New Roman"/>
        </w:rPr>
      </w:pPr>
      <w:r>
        <w:rPr>
          <w:rFonts w:ascii="Palatino Linotype" w:hAnsi="Palatino Linotype" w:cs="Arial"/>
          <w:color w:val="222222"/>
          <w:shd w:val="clear" w:color="auto" w:fill="FFFFFF"/>
        </w:rPr>
        <w:t>P</w:t>
      </w:r>
      <w:r w:rsidRPr="0009765F">
        <w:rPr>
          <w:rFonts w:ascii="Palatino Linotype" w:hAnsi="Palatino Linotype" w:cs="Arial"/>
          <w:color w:val="222222"/>
          <w:shd w:val="clear" w:color="auto" w:fill="FFFFFF"/>
        </w:rPr>
        <w:t>ortland and its surrounding region are</w:t>
      </w:r>
      <w:r>
        <w:rPr>
          <w:rFonts w:ascii="Palatino Linotype" w:hAnsi="Palatino Linotype" w:cs="Arial"/>
          <w:color w:val="222222"/>
          <w:shd w:val="clear" w:color="auto" w:fill="FFFFFF"/>
        </w:rPr>
        <w:t xml:space="preserve"> more </w:t>
      </w:r>
      <w:r w:rsidRPr="0009765F">
        <w:rPr>
          <w:rFonts w:ascii="Palatino Linotype" w:hAnsi="Palatino Linotype" w:cs="Arial"/>
          <w:color w:val="222222"/>
          <w:shd w:val="clear" w:color="auto" w:fill="FFFFFF"/>
        </w:rPr>
        <w:t>important</w:t>
      </w:r>
      <w:r>
        <w:rPr>
          <w:rFonts w:ascii="Palatino Linotype" w:hAnsi="Palatino Linotype" w:cs="Arial"/>
          <w:color w:val="222222"/>
          <w:shd w:val="clear" w:color="auto" w:fill="FFFFFF"/>
        </w:rPr>
        <w:t xml:space="preserve"> than ever </w:t>
      </w:r>
      <w:r w:rsidRPr="0009765F">
        <w:rPr>
          <w:rFonts w:ascii="Palatino Linotype" w:hAnsi="Palatino Linotype" w:cs="Arial"/>
          <w:color w:val="222222"/>
          <w:shd w:val="clear" w:color="auto" w:fill="FFFFFF"/>
        </w:rPr>
        <w:t>to Mai</w:t>
      </w:r>
      <w:r>
        <w:rPr>
          <w:rFonts w:ascii="Palatino Linotype" w:hAnsi="Palatino Linotype" w:cs="Arial"/>
          <w:color w:val="222222"/>
          <w:shd w:val="clear" w:color="auto" w:fill="FFFFFF"/>
        </w:rPr>
        <w:t>ne’s overall economic prosperity.</w:t>
      </w:r>
      <w:r w:rsidRPr="0009765F">
        <w:rPr>
          <w:rFonts w:ascii="Palatino Linotype" w:hAnsi="Palatino Linotype" w:cs="Arial"/>
          <w:color w:val="222222"/>
          <w:shd w:val="clear" w:color="auto" w:fill="FFFFFF"/>
        </w:rPr>
        <w:t xml:space="preserve">  </w:t>
      </w:r>
      <w:r>
        <w:rPr>
          <w:rFonts w:ascii="Palatino Linotype" w:hAnsi="Palatino Linotype"/>
        </w:rPr>
        <w:t>R</w:t>
      </w:r>
      <w:r w:rsidRPr="006115A1">
        <w:rPr>
          <w:rFonts w:ascii="Palatino Linotype" w:hAnsi="Palatino Linotype"/>
        </w:rPr>
        <w:t xml:space="preserve">ecent analysis for the U.S. Conference of Mayors reveals that the Portland-South Portland-Biddeford region now accounts for more than one-half of the state’s </w:t>
      </w:r>
      <w:r>
        <w:rPr>
          <w:rFonts w:ascii="Palatino Linotype" w:hAnsi="Palatino Linotype"/>
        </w:rPr>
        <w:t xml:space="preserve">entire </w:t>
      </w:r>
      <w:r w:rsidRPr="006115A1">
        <w:rPr>
          <w:rFonts w:ascii="Palatino Linotype" w:hAnsi="Palatino Linotype"/>
        </w:rPr>
        <w:t>economy.</w:t>
      </w:r>
      <w:r w:rsidR="00483177">
        <w:rPr>
          <w:rFonts w:ascii="Palatino Linotype" w:hAnsi="Palatino Linotype"/>
        </w:rPr>
        <w:t xml:space="preserve"> </w:t>
      </w:r>
      <w:r w:rsidR="00483177" w:rsidRPr="00483177">
        <w:rPr>
          <w:rFonts w:ascii="Palatino Linotype" w:hAnsi="Palatino Linotype"/>
        </w:rPr>
        <w:lastRenderedPageBreak/>
        <w:t xml:space="preserve">When combined with Bangor and Lewiston-Auburn, this increases to fully two-thirds of the state’s economy. See </w:t>
      </w:r>
      <w:r w:rsidR="00483177" w:rsidRPr="00483177">
        <w:rPr>
          <w:rFonts w:ascii="Palatino Linotype" w:hAnsi="Palatino Linotype"/>
          <w:i/>
        </w:rPr>
        <w:t>Portland Press Herald</w:t>
      </w:r>
      <w:r w:rsidR="00483177" w:rsidRPr="00483177">
        <w:rPr>
          <w:rFonts w:ascii="Palatino Linotype" w:hAnsi="Palatino Linotype"/>
        </w:rPr>
        <w:t>, June 24, 2016.</w:t>
      </w:r>
      <w:r w:rsidRPr="006115A1">
        <w:rPr>
          <w:rStyle w:val="FootnoteReference"/>
          <w:rFonts w:ascii="Palatino Linotype" w:hAnsi="Palatino Linotype"/>
        </w:rPr>
        <w:footnoteReference w:id="6"/>
      </w:r>
      <w:r w:rsidRPr="006115A1">
        <w:rPr>
          <w:rFonts w:ascii="Palatino Linotype" w:hAnsi="Palatino Linotype"/>
        </w:rPr>
        <w:t xml:space="preserve"> </w:t>
      </w:r>
    </w:p>
    <w:p w:rsidR="00FD20D3" w:rsidRDefault="00FD20D3" w:rsidP="001171C3">
      <w:pPr>
        <w:spacing w:after="120" w:line="360" w:lineRule="auto"/>
        <w:rPr>
          <w:rFonts w:ascii="Palatino Linotype" w:hAnsi="Palatino Linotype"/>
        </w:rPr>
      </w:pPr>
      <w:r>
        <w:rPr>
          <w:rFonts w:ascii="Palatino Linotype" w:hAnsi="Palatino Linotype"/>
        </w:rPr>
        <w:t>Cities across the country and the world</w:t>
      </w:r>
      <w:r w:rsidRPr="00951ABC">
        <w:rPr>
          <w:rFonts w:ascii="Palatino Linotype" w:hAnsi="Palatino Linotype"/>
        </w:rPr>
        <w:t xml:space="preserve"> originally thrive</w:t>
      </w:r>
      <w:r w:rsidR="00CB1876">
        <w:rPr>
          <w:rFonts w:ascii="Palatino Linotype" w:hAnsi="Palatino Linotype"/>
        </w:rPr>
        <w:t>d because of their proximity</w:t>
      </w:r>
      <w:r>
        <w:rPr>
          <w:rFonts w:ascii="Palatino Linotype" w:hAnsi="Palatino Linotype"/>
        </w:rPr>
        <w:t xml:space="preserve"> first to </w:t>
      </w:r>
      <w:r w:rsidRPr="00951ABC">
        <w:rPr>
          <w:rFonts w:ascii="Palatino Linotype" w:hAnsi="Palatino Linotype"/>
        </w:rPr>
        <w:t>water and</w:t>
      </w:r>
      <w:r>
        <w:rPr>
          <w:rFonts w:ascii="Palatino Linotype" w:hAnsi="Palatino Linotype"/>
        </w:rPr>
        <w:t xml:space="preserve"> then to</w:t>
      </w:r>
      <w:r w:rsidRPr="00951ABC">
        <w:rPr>
          <w:rFonts w:ascii="Palatino Linotype" w:hAnsi="Palatino Linotype"/>
        </w:rPr>
        <w:t xml:space="preserve"> rail lines.  This is true of Portland as well as </w:t>
      </w:r>
      <w:r>
        <w:rPr>
          <w:rFonts w:ascii="Palatino Linotype" w:hAnsi="Palatino Linotype"/>
        </w:rPr>
        <w:t xml:space="preserve">all </w:t>
      </w:r>
      <w:r w:rsidRPr="00951ABC">
        <w:rPr>
          <w:rFonts w:ascii="Palatino Linotype" w:hAnsi="Palatino Linotype"/>
        </w:rPr>
        <w:t xml:space="preserve">the great cities along </w:t>
      </w:r>
      <w:r>
        <w:rPr>
          <w:rFonts w:ascii="Palatino Linotype" w:hAnsi="Palatino Linotype"/>
        </w:rPr>
        <w:t>both</w:t>
      </w:r>
      <w:r w:rsidRPr="00951ABC">
        <w:rPr>
          <w:rFonts w:ascii="Palatino Linotype" w:hAnsi="Palatino Linotype"/>
        </w:rPr>
        <w:t xml:space="preserve"> coasts</w:t>
      </w:r>
      <w:r>
        <w:rPr>
          <w:rFonts w:ascii="Palatino Linotype" w:hAnsi="Palatino Linotype"/>
        </w:rPr>
        <w:t>, the Gulf,</w:t>
      </w:r>
      <w:r w:rsidRPr="00951ABC">
        <w:rPr>
          <w:rFonts w:ascii="Palatino Linotype" w:hAnsi="Palatino Linotype"/>
        </w:rPr>
        <w:t xml:space="preserve"> and the Great Lakes.  </w:t>
      </w:r>
      <w:r>
        <w:rPr>
          <w:rFonts w:ascii="Palatino Linotype" w:hAnsi="Palatino Linotype"/>
        </w:rPr>
        <w:t>A</w:t>
      </w:r>
      <w:r w:rsidRPr="00951ABC">
        <w:rPr>
          <w:rFonts w:ascii="Palatino Linotype" w:hAnsi="Palatino Linotype"/>
        </w:rPr>
        <w:t xml:space="preserve">s </w:t>
      </w:r>
      <w:r>
        <w:rPr>
          <w:rFonts w:ascii="Palatino Linotype" w:hAnsi="Palatino Linotype"/>
        </w:rPr>
        <w:t>automobiles, trucks, and airplanes</w:t>
      </w:r>
      <w:r w:rsidRPr="00951ABC">
        <w:rPr>
          <w:rFonts w:ascii="Palatino Linotype" w:hAnsi="Palatino Linotype"/>
        </w:rPr>
        <w:t xml:space="preserve"> replaced water and rail, manufacturers moved to the suburbs or failed to compete with</w:t>
      </w:r>
      <w:r w:rsidR="00CF52EE">
        <w:rPr>
          <w:rFonts w:ascii="Palatino Linotype" w:hAnsi="Palatino Linotype"/>
        </w:rPr>
        <w:t xml:space="preserve"> southern U.S. and, later,</w:t>
      </w:r>
      <w:r w:rsidRPr="00951ABC">
        <w:rPr>
          <w:rFonts w:ascii="Palatino Linotype" w:hAnsi="Palatino Linotype"/>
        </w:rPr>
        <w:t xml:space="preserve"> offshore manufacturers, leaving many</w:t>
      </w:r>
      <w:r w:rsidR="00B52A94">
        <w:rPr>
          <w:rFonts w:ascii="Palatino Linotype" w:hAnsi="Palatino Linotype"/>
        </w:rPr>
        <w:t xml:space="preserve"> post-World War II</w:t>
      </w:r>
      <w:r w:rsidRPr="00951ABC">
        <w:rPr>
          <w:rFonts w:ascii="Palatino Linotype" w:hAnsi="Palatino Linotype"/>
        </w:rPr>
        <w:t xml:space="preserve"> cities </w:t>
      </w:r>
      <w:r>
        <w:rPr>
          <w:rFonts w:ascii="Palatino Linotype" w:hAnsi="Palatino Linotype"/>
        </w:rPr>
        <w:t>like Portland as hollowing</w:t>
      </w:r>
      <w:r w:rsidRPr="00951ABC">
        <w:rPr>
          <w:rFonts w:ascii="Palatino Linotype" w:hAnsi="Palatino Linotype"/>
        </w:rPr>
        <w:t xml:space="preserve"> shells without </w:t>
      </w:r>
      <w:r>
        <w:rPr>
          <w:rFonts w:ascii="Palatino Linotype" w:hAnsi="Palatino Linotype"/>
        </w:rPr>
        <w:t xml:space="preserve">enough </w:t>
      </w:r>
      <w:r w:rsidR="00CF52EE">
        <w:rPr>
          <w:rFonts w:ascii="Palatino Linotype" w:hAnsi="Palatino Linotype"/>
        </w:rPr>
        <w:t>busines</w:t>
      </w:r>
      <w:r w:rsidR="005E0656">
        <w:rPr>
          <w:rFonts w:ascii="Palatino Linotype" w:hAnsi="Palatino Linotype"/>
        </w:rPr>
        <w:t>s</w:t>
      </w:r>
      <w:r w:rsidRPr="00951ABC">
        <w:rPr>
          <w:rFonts w:ascii="Palatino Linotype" w:hAnsi="Palatino Linotype"/>
        </w:rPr>
        <w:t xml:space="preserve"> to drive their </w:t>
      </w:r>
      <w:r w:rsidR="00B52A94">
        <w:rPr>
          <w:rFonts w:ascii="Palatino Linotype" w:hAnsi="Palatino Linotype"/>
        </w:rPr>
        <w:t xml:space="preserve">regional </w:t>
      </w:r>
      <w:r w:rsidRPr="00951ABC">
        <w:rPr>
          <w:rFonts w:ascii="Palatino Linotype" w:hAnsi="Palatino Linotype"/>
        </w:rPr>
        <w:t xml:space="preserve">economies.  </w:t>
      </w:r>
    </w:p>
    <w:p w:rsidR="00FD20D3" w:rsidRPr="00951ABC" w:rsidRDefault="00FD20D3" w:rsidP="001171C3">
      <w:pPr>
        <w:spacing w:after="120" w:line="360" w:lineRule="auto"/>
        <w:rPr>
          <w:rFonts w:ascii="Palatino Linotype" w:hAnsi="Palatino Linotype"/>
        </w:rPr>
      </w:pPr>
      <w:r w:rsidRPr="00951ABC">
        <w:rPr>
          <w:rFonts w:ascii="Palatino Linotype" w:hAnsi="Palatino Linotype"/>
        </w:rPr>
        <w:t xml:space="preserve">The rise of the suburbs </w:t>
      </w:r>
      <w:r>
        <w:rPr>
          <w:rFonts w:ascii="Palatino Linotype" w:hAnsi="Palatino Linotype"/>
        </w:rPr>
        <w:t>after</w:t>
      </w:r>
      <w:r w:rsidR="00B52A94">
        <w:rPr>
          <w:rFonts w:ascii="Palatino Linotype" w:hAnsi="Palatino Linotype"/>
        </w:rPr>
        <w:t xml:space="preserve"> the war</w:t>
      </w:r>
      <w:r w:rsidRPr="00951ABC">
        <w:rPr>
          <w:rFonts w:ascii="Palatino Linotype" w:hAnsi="Palatino Linotype"/>
        </w:rPr>
        <w:t xml:space="preserve"> offered young families an escape from the noise, pollution, poverty, and crime of declining cities.</w:t>
      </w:r>
      <w:r>
        <w:rPr>
          <w:rFonts w:ascii="Palatino Linotype" w:hAnsi="Palatino Linotype"/>
        </w:rPr>
        <w:t xml:space="preserve"> The suburbs seemed ideal</w:t>
      </w:r>
      <w:r w:rsidRPr="00951ABC">
        <w:rPr>
          <w:rFonts w:ascii="Palatino Linotype" w:hAnsi="Palatino Linotype"/>
        </w:rPr>
        <w:t xml:space="preserve"> </w:t>
      </w:r>
      <w:r>
        <w:rPr>
          <w:rFonts w:ascii="Palatino Linotype" w:hAnsi="Palatino Linotype"/>
        </w:rPr>
        <w:t xml:space="preserve">places </w:t>
      </w:r>
      <w:r w:rsidRPr="00951ABC">
        <w:rPr>
          <w:rFonts w:ascii="Palatino Linotype" w:hAnsi="Palatino Linotype"/>
        </w:rPr>
        <w:t xml:space="preserve">to raise children with their good schools, safe neighborhoods, and single family homes with a garage for the car and </w:t>
      </w:r>
      <w:r>
        <w:rPr>
          <w:rFonts w:ascii="Palatino Linotype" w:hAnsi="Palatino Linotype"/>
        </w:rPr>
        <w:t xml:space="preserve">a </w:t>
      </w:r>
      <w:r w:rsidRPr="00951ABC">
        <w:rPr>
          <w:rFonts w:ascii="Palatino Linotype" w:hAnsi="Palatino Linotype"/>
        </w:rPr>
        <w:t xml:space="preserve">yard for </w:t>
      </w:r>
      <w:r>
        <w:rPr>
          <w:rFonts w:ascii="Palatino Linotype" w:hAnsi="Palatino Linotype"/>
        </w:rPr>
        <w:t>the children</w:t>
      </w:r>
      <w:r w:rsidRPr="00951ABC">
        <w:rPr>
          <w:rFonts w:ascii="Palatino Linotype" w:hAnsi="Palatino Linotype"/>
        </w:rPr>
        <w:t xml:space="preserve">.  These attributes outweighed the suburb’s disadvantages of </w:t>
      </w:r>
      <w:r>
        <w:rPr>
          <w:rFonts w:ascii="Palatino Linotype" w:hAnsi="Palatino Linotype"/>
        </w:rPr>
        <w:t xml:space="preserve">racial </w:t>
      </w:r>
      <w:r w:rsidRPr="00951ABC">
        <w:rPr>
          <w:rFonts w:ascii="Palatino Linotype" w:hAnsi="Palatino Linotype"/>
        </w:rPr>
        <w:t>homogene</w:t>
      </w:r>
      <w:r>
        <w:rPr>
          <w:rFonts w:ascii="Palatino Linotype" w:hAnsi="Palatino Linotype"/>
        </w:rPr>
        <w:t>ity</w:t>
      </w:r>
      <w:r w:rsidRPr="00951ABC">
        <w:rPr>
          <w:rFonts w:ascii="Palatino Linotype" w:hAnsi="Palatino Linotype"/>
        </w:rPr>
        <w:t>, limited cultural stimulation,</w:t>
      </w:r>
      <w:r>
        <w:rPr>
          <w:rFonts w:ascii="Palatino Linotype" w:hAnsi="Palatino Linotype"/>
        </w:rPr>
        <w:t xml:space="preserve"> </w:t>
      </w:r>
      <w:r w:rsidRPr="00951ABC">
        <w:rPr>
          <w:rFonts w:ascii="Palatino Linotype" w:hAnsi="Palatino Linotype"/>
        </w:rPr>
        <w:t>overdependence on the automobile, and the</w:t>
      </w:r>
      <w:r>
        <w:rPr>
          <w:rFonts w:ascii="Palatino Linotype" w:hAnsi="Palatino Linotype"/>
        </w:rPr>
        <w:t xml:space="preserve"> loss of farmland and</w:t>
      </w:r>
      <w:r w:rsidRPr="00951ABC">
        <w:rPr>
          <w:rFonts w:ascii="Palatino Linotype" w:hAnsi="Palatino Linotype"/>
        </w:rPr>
        <w:t xml:space="preserve"> </w:t>
      </w:r>
      <w:r w:rsidR="00483177">
        <w:rPr>
          <w:rFonts w:ascii="Palatino Linotype" w:hAnsi="Palatino Linotype"/>
        </w:rPr>
        <w:t xml:space="preserve">its </w:t>
      </w:r>
      <w:r w:rsidRPr="00951ABC">
        <w:rPr>
          <w:rFonts w:ascii="Palatino Linotype" w:hAnsi="Palatino Linotype"/>
        </w:rPr>
        <w:t xml:space="preserve">environmental </w:t>
      </w:r>
      <w:r>
        <w:rPr>
          <w:rFonts w:ascii="Palatino Linotype" w:hAnsi="Palatino Linotype"/>
        </w:rPr>
        <w:t>amenities</w:t>
      </w:r>
      <w:r w:rsidRPr="00951ABC">
        <w:rPr>
          <w:rFonts w:ascii="Palatino Linotype" w:hAnsi="Palatino Linotype"/>
        </w:rPr>
        <w:t>.</w:t>
      </w:r>
    </w:p>
    <w:p w:rsidR="00FD20D3" w:rsidRPr="00951ABC" w:rsidRDefault="00FD20D3" w:rsidP="001171C3">
      <w:pPr>
        <w:spacing w:after="120" w:line="360" w:lineRule="auto"/>
        <w:rPr>
          <w:rFonts w:ascii="Palatino Linotype" w:hAnsi="Palatino Linotype"/>
        </w:rPr>
      </w:pPr>
      <w:r w:rsidRPr="00951ABC">
        <w:rPr>
          <w:rFonts w:ascii="Palatino Linotype" w:hAnsi="Palatino Linotype"/>
        </w:rPr>
        <w:t xml:space="preserve">As Harvard </w:t>
      </w:r>
      <w:r>
        <w:rPr>
          <w:rFonts w:ascii="Palatino Linotype" w:hAnsi="Palatino Linotype"/>
        </w:rPr>
        <w:t xml:space="preserve">design </w:t>
      </w:r>
      <w:r w:rsidRPr="00951ABC">
        <w:rPr>
          <w:rFonts w:ascii="Palatino Linotype" w:hAnsi="Palatino Linotype"/>
        </w:rPr>
        <w:t xml:space="preserve">professor Alex Krieger points out, suburbs were particularly attractive when </w:t>
      </w:r>
      <w:r w:rsidR="00483177">
        <w:rPr>
          <w:rFonts w:ascii="Palatino Linotype" w:hAnsi="Palatino Linotype"/>
        </w:rPr>
        <w:t xml:space="preserve">well more than </w:t>
      </w:r>
      <w:r w:rsidRPr="00951ABC">
        <w:rPr>
          <w:rFonts w:ascii="Palatino Linotype" w:hAnsi="Palatino Linotype"/>
        </w:rPr>
        <w:t>half the households in the country had children of school age</w:t>
      </w:r>
      <w:r>
        <w:rPr>
          <w:rFonts w:ascii="Palatino Linotype" w:hAnsi="Palatino Linotype"/>
        </w:rPr>
        <w:t>;</w:t>
      </w:r>
      <w:r w:rsidRPr="00951ABC">
        <w:rPr>
          <w:rFonts w:ascii="Palatino Linotype" w:hAnsi="Palatino Linotype"/>
        </w:rPr>
        <w:t xml:space="preserve"> b</w:t>
      </w:r>
      <w:r w:rsidR="00B52A94">
        <w:rPr>
          <w:rFonts w:ascii="Palatino Linotype" w:hAnsi="Palatino Linotype"/>
        </w:rPr>
        <w:t>ut today that number has dwindled</w:t>
      </w:r>
      <w:r w:rsidRPr="00951ABC">
        <w:rPr>
          <w:rFonts w:ascii="Palatino Linotype" w:hAnsi="Palatino Linotype"/>
        </w:rPr>
        <w:t xml:space="preserve"> to</w:t>
      </w:r>
      <w:r>
        <w:rPr>
          <w:rFonts w:ascii="Palatino Linotype" w:hAnsi="Palatino Linotype"/>
        </w:rPr>
        <w:t xml:space="preserve"> just</w:t>
      </w:r>
      <w:r w:rsidR="00483177">
        <w:rPr>
          <w:rFonts w:ascii="Palatino Linotype" w:hAnsi="Palatino Linotype"/>
        </w:rPr>
        <w:t xml:space="preserve"> over</w:t>
      </w:r>
      <w:r w:rsidRPr="00951ABC">
        <w:rPr>
          <w:rFonts w:ascii="Palatino Linotype" w:hAnsi="Palatino Linotype"/>
        </w:rPr>
        <w:t xml:space="preserve"> 20 percent.</w:t>
      </w:r>
      <w:r w:rsidR="00B52A94" w:rsidRPr="00B52A94">
        <w:rPr>
          <w:rStyle w:val="FootnoteReference"/>
          <w:rFonts w:ascii="Palatino Linotype" w:hAnsi="Palatino Linotype"/>
        </w:rPr>
        <w:t xml:space="preserve"> </w:t>
      </w:r>
      <w:r w:rsidR="00B52A94">
        <w:rPr>
          <w:rStyle w:val="FootnoteReference"/>
          <w:rFonts w:ascii="Palatino Linotype" w:hAnsi="Palatino Linotype"/>
        </w:rPr>
        <w:footnoteReference w:id="7"/>
      </w:r>
      <w:r w:rsidRPr="00951ABC">
        <w:rPr>
          <w:rFonts w:ascii="Palatino Linotype" w:hAnsi="Palatino Linotype"/>
        </w:rPr>
        <w:t xml:space="preserve">  As older people live longer and younger people take more time to secure an education and</w:t>
      </w:r>
      <w:r>
        <w:rPr>
          <w:rFonts w:ascii="Palatino Linotype" w:hAnsi="Palatino Linotype"/>
        </w:rPr>
        <w:t xml:space="preserve"> start</w:t>
      </w:r>
      <w:r w:rsidRPr="00951ABC">
        <w:rPr>
          <w:rFonts w:ascii="Palatino Linotype" w:hAnsi="Palatino Linotype"/>
        </w:rPr>
        <w:t xml:space="preserve"> a</w:t>
      </w:r>
      <w:r>
        <w:rPr>
          <w:rFonts w:ascii="Palatino Linotype" w:hAnsi="Palatino Linotype"/>
        </w:rPr>
        <w:t xml:space="preserve"> career, cities</w:t>
      </w:r>
      <w:r w:rsidRPr="00951ABC">
        <w:rPr>
          <w:rFonts w:ascii="Palatino Linotype" w:hAnsi="Palatino Linotype"/>
        </w:rPr>
        <w:t xml:space="preserve"> </w:t>
      </w:r>
      <w:r>
        <w:rPr>
          <w:rFonts w:ascii="Palatino Linotype" w:hAnsi="Palatino Linotype"/>
        </w:rPr>
        <w:t xml:space="preserve">have </w:t>
      </w:r>
      <w:r w:rsidRPr="00951ABC">
        <w:rPr>
          <w:rFonts w:ascii="Palatino Linotype" w:hAnsi="Palatino Linotype"/>
        </w:rPr>
        <w:t>become more attractive for many single adults, empty</w:t>
      </w:r>
      <w:r>
        <w:rPr>
          <w:rFonts w:ascii="Palatino Linotype" w:hAnsi="Palatino Linotype"/>
        </w:rPr>
        <w:t>-</w:t>
      </w:r>
      <w:r w:rsidR="00073EE7">
        <w:rPr>
          <w:rFonts w:ascii="Palatino Linotype" w:hAnsi="Palatino Linotype"/>
        </w:rPr>
        <w:t>nest</w:t>
      </w:r>
      <w:r w:rsidRPr="00951ABC">
        <w:rPr>
          <w:rFonts w:ascii="Palatino Linotype" w:hAnsi="Palatino Linotype"/>
        </w:rPr>
        <w:t xml:space="preserve">ers, professionals, and millennials. </w:t>
      </w:r>
    </w:p>
    <w:p w:rsidR="00C41B5C" w:rsidRDefault="00FD20D3" w:rsidP="001171C3">
      <w:pPr>
        <w:spacing w:after="120" w:line="360" w:lineRule="auto"/>
        <w:rPr>
          <w:rFonts w:ascii="Palatino Linotype" w:hAnsi="Palatino Linotype"/>
        </w:rPr>
      </w:pPr>
      <w:r w:rsidRPr="00951ABC">
        <w:rPr>
          <w:rFonts w:ascii="Palatino Linotype" w:hAnsi="Palatino Linotype"/>
        </w:rPr>
        <w:t>Kennedy School economist Edward Glaeser notes</w:t>
      </w:r>
      <w:r w:rsidR="00C41B5C">
        <w:rPr>
          <w:rFonts w:ascii="Palatino Linotype" w:hAnsi="Palatino Linotype"/>
        </w:rPr>
        <w:t xml:space="preserve"> that successful cities around the world today are powerful magnets for people, facilitating interaction among them</w:t>
      </w:r>
      <w:r w:rsidR="00C41B5C" w:rsidRPr="00951ABC">
        <w:rPr>
          <w:rFonts w:ascii="Palatino Linotype" w:hAnsi="Palatino Linotype"/>
        </w:rPr>
        <w:t xml:space="preserve"> and competition among firms in emerging and growing industries.</w:t>
      </w:r>
      <w:r w:rsidR="00C41B5C">
        <w:rPr>
          <w:rStyle w:val="FootnoteReference"/>
          <w:rFonts w:ascii="Palatino Linotype" w:hAnsi="Palatino Linotype"/>
        </w:rPr>
        <w:footnoteReference w:id="8"/>
      </w:r>
      <w:r w:rsidR="00C41B5C">
        <w:rPr>
          <w:rFonts w:ascii="Palatino Linotype" w:hAnsi="Palatino Linotype"/>
        </w:rPr>
        <w:t xml:space="preserve"> They </w:t>
      </w:r>
      <w:r w:rsidR="00C41B5C" w:rsidRPr="00966FFC">
        <w:rPr>
          <w:rFonts w:ascii="Palatino Linotype" w:hAnsi="Palatino Linotype"/>
        </w:rPr>
        <w:t xml:space="preserve">offer </w:t>
      </w:r>
      <w:r w:rsidR="00C41B5C">
        <w:rPr>
          <w:rFonts w:ascii="Palatino Linotype" w:hAnsi="Palatino Linotype"/>
        </w:rPr>
        <w:t>vast opportunity</w:t>
      </w:r>
      <w:r w:rsidR="00C41B5C" w:rsidRPr="00966FFC">
        <w:rPr>
          <w:rFonts w:ascii="Palatino Linotype" w:hAnsi="Palatino Linotype"/>
        </w:rPr>
        <w:t xml:space="preserve"> for</w:t>
      </w:r>
      <w:r w:rsidR="00C41B5C">
        <w:rPr>
          <w:rFonts w:ascii="Palatino Linotype" w:hAnsi="Palatino Linotype"/>
        </w:rPr>
        <w:t xml:space="preserve"> employment and</w:t>
      </w:r>
      <w:r w:rsidR="00C41B5C" w:rsidRPr="00966FFC">
        <w:rPr>
          <w:rFonts w:ascii="Palatino Linotype" w:hAnsi="Palatino Linotype"/>
        </w:rPr>
        <w:t xml:space="preserve"> upward mobility</w:t>
      </w:r>
      <w:r w:rsidR="00C41B5C">
        <w:rPr>
          <w:rFonts w:ascii="Palatino Linotype" w:hAnsi="Palatino Linotype"/>
        </w:rPr>
        <w:t xml:space="preserve">, </w:t>
      </w:r>
      <w:r w:rsidR="00C41B5C" w:rsidRPr="00966FFC">
        <w:rPr>
          <w:rFonts w:ascii="Palatino Linotype" w:hAnsi="Palatino Linotype"/>
        </w:rPr>
        <w:t>accommodate diverse</w:t>
      </w:r>
      <w:r w:rsidR="00C41B5C">
        <w:rPr>
          <w:rFonts w:ascii="Palatino Linotype" w:hAnsi="Palatino Linotype"/>
        </w:rPr>
        <w:t xml:space="preserve"> peoples of all incomes and social classes,</w:t>
      </w:r>
      <w:r w:rsidR="00C41B5C" w:rsidRPr="00966FFC">
        <w:rPr>
          <w:rFonts w:ascii="Palatino Linotype" w:hAnsi="Palatino Linotype"/>
        </w:rPr>
        <w:t xml:space="preserve"> and ensure the availability of </w:t>
      </w:r>
      <w:r w:rsidR="00C41B5C">
        <w:rPr>
          <w:rFonts w:ascii="Palatino Linotype" w:hAnsi="Palatino Linotype"/>
        </w:rPr>
        <w:t xml:space="preserve">shelter, affordable to all. </w:t>
      </w:r>
    </w:p>
    <w:p w:rsidR="00FD20D3" w:rsidRDefault="00FD20D3" w:rsidP="001171C3">
      <w:pPr>
        <w:spacing w:after="120" w:line="360" w:lineRule="auto"/>
        <w:rPr>
          <w:rFonts w:ascii="Palatino Linotype" w:hAnsi="Palatino Linotype"/>
        </w:rPr>
      </w:pPr>
      <w:r w:rsidRPr="00951ABC">
        <w:rPr>
          <w:rFonts w:ascii="Palatino Linotype" w:hAnsi="Palatino Linotype"/>
        </w:rPr>
        <w:lastRenderedPageBreak/>
        <w:t>Cities like New York, Boston, Minneapolis</w:t>
      </w:r>
      <w:r>
        <w:rPr>
          <w:rFonts w:ascii="Palatino Linotype" w:hAnsi="Palatino Linotype"/>
        </w:rPr>
        <w:t>, and San Francisco have been</w:t>
      </w:r>
      <w:r w:rsidRPr="00951ABC">
        <w:rPr>
          <w:rFonts w:ascii="Palatino Linotype" w:hAnsi="Palatino Linotype"/>
        </w:rPr>
        <w:t xml:space="preserve"> reinvented by entrepreneurial innovat</w:t>
      </w:r>
      <w:r>
        <w:rPr>
          <w:rFonts w:ascii="Palatino Linotype" w:hAnsi="Palatino Linotype"/>
        </w:rPr>
        <w:t xml:space="preserve">ors – </w:t>
      </w:r>
      <w:r w:rsidRPr="00951ABC">
        <w:rPr>
          <w:rFonts w:ascii="Palatino Linotype" w:hAnsi="Palatino Linotype"/>
        </w:rPr>
        <w:t>in financial services in New York, in technology and bio-scie</w:t>
      </w:r>
      <w:r>
        <w:rPr>
          <w:rFonts w:ascii="Palatino Linotype" w:hAnsi="Palatino Linotype"/>
        </w:rPr>
        <w:t>nces in Boston, in medical devic</w:t>
      </w:r>
      <w:r w:rsidRPr="00951ABC">
        <w:rPr>
          <w:rFonts w:ascii="Palatino Linotype" w:hAnsi="Palatino Linotype"/>
        </w:rPr>
        <w:t xml:space="preserve">es and retail in Minneapolis, and in information technology in San Francisco and the Silicon Valley.  Tourism, the arts, and educational institutions </w:t>
      </w:r>
      <w:r>
        <w:rPr>
          <w:rFonts w:ascii="Palatino Linotype" w:hAnsi="Palatino Linotype"/>
        </w:rPr>
        <w:t>have played major</w:t>
      </w:r>
      <w:r w:rsidRPr="00951ABC">
        <w:rPr>
          <w:rFonts w:ascii="Palatino Linotype" w:hAnsi="Palatino Linotype"/>
        </w:rPr>
        <w:t xml:space="preserve"> role</w:t>
      </w:r>
      <w:r>
        <w:rPr>
          <w:rFonts w:ascii="Palatino Linotype" w:hAnsi="Palatino Linotype"/>
        </w:rPr>
        <w:t>s</w:t>
      </w:r>
      <w:r w:rsidRPr="00951ABC">
        <w:rPr>
          <w:rFonts w:ascii="Palatino Linotype" w:hAnsi="Palatino Linotype"/>
        </w:rPr>
        <w:t xml:space="preserve"> in the revitalization of </w:t>
      </w:r>
      <w:r w:rsidR="004A6B17">
        <w:rPr>
          <w:rFonts w:ascii="Palatino Linotype" w:hAnsi="Palatino Linotype"/>
        </w:rPr>
        <w:t>each of</w:t>
      </w:r>
      <w:r>
        <w:rPr>
          <w:rFonts w:ascii="Palatino Linotype" w:hAnsi="Palatino Linotype"/>
        </w:rPr>
        <w:t xml:space="preserve"> these</w:t>
      </w:r>
      <w:r w:rsidRPr="00951ABC">
        <w:rPr>
          <w:rFonts w:ascii="Palatino Linotype" w:hAnsi="Palatino Linotype"/>
        </w:rPr>
        <w:t xml:space="preserve"> cities.</w:t>
      </w:r>
    </w:p>
    <w:p w:rsidR="00FD20D3" w:rsidRDefault="004A6B17" w:rsidP="001171C3">
      <w:pPr>
        <w:spacing w:after="120" w:line="360" w:lineRule="auto"/>
        <w:rPr>
          <w:rFonts w:ascii="Palatino Linotype" w:hAnsi="Palatino Linotype"/>
        </w:rPr>
      </w:pPr>
      <w:r>
        <w:rPr>
          <w:rFonts w:ascii="Palatino Linotype" w:hAnsi="Palatino Linotype"/>
        </w:rPr>
        <w:t>U</w:t>
      </w:r>
      <w:r w:rsidR="00FD20D3">
        <w:rPr>
          <w:rFonts w:ascii="Palatino Linotype" w:hAnsi="Palatino Linotype"/>
        </w:rPr>
        <w:t xml:space="preserve">rbanist </w:t>
      </w:r>
      <w:r w:rsidR="00FD20D3" w:rsidRPr="00951ABC">
        <w:rPr>
          <w:rFonts w:ascii="Palatino Linotype" w:hAnsi="Palatino Linotype"/>
        </w:rPr>
        <w:t>Jane Jacobs</w:t>
      </w:r>
      <w:r w:rsidR="00FD20D3">
        <w:rPr>
          <w:rFonts w:ascii="Palatino Linotype" w:hAnsi="Palatino Linotype"/>
        </w:rPr>
        <w:t xml:space="preserve"> urges cities to create dense, mixed-</w:t>
      </w:r>
      <w:r w:rsidR="00FD20D3" w:rsidRPr="00951ABC">
        <w:rPr>
          <w:rFonts w:ascii="Palatino Linotype" w:hAnsi="Palatino Linotype"/>
        </w:rPr>
        <w:t>use neighborhoods</w:t>
      </w:r>
      <w:r w:rsidR="00FD20D3">
        <w:rPr>
          <w:rFonts w:ascii="Palatino Linotype" w:hAnsi="Palatino Linotype"/>
        </w:rPr>
        <w:t xml:space="preserve"> that bring</w:t>
      </w:r>
      <w:r w:rsidR="00FD20D3" w:rsidRPr="00951ABC">
        <w:rPr>
          <w:rFonts w:ascii="Palatino Linotype" w:hAnsi="Palatino Linotype"/>
        </w:rPr>
        <w:t xml:space="preserve"> together </w:t>
      </w:r>
      <w:r w:rsidR="00FD20D3">
        <w:rPr>
          <w:rFonts w:ascii="Palatino Linotype" w:hAnsi="Palatino Linotype"/>
        </w:rPr>
        <w:t xml:space="preserve">housing, </w:t>
      </w:r>
      <w:r w:rsidR="00FD20D3" w:rsidRPr="00951ABC">
        <w:rPr>
          <w:rFonts w:ascii="Palatino Linotype" w:hAnsi="Palatino Linotype"/>
        </w:rPr>
        <w:t xml:space="preserve">businesses, shops, cultural venues, </w:t>
      </w:r>
      <w:r w:rsidR="00FD20D3">
        <w:rPr>
          <w:rFonts w:ascii="Palatino Linotype" w:hAnsi="Palatino Linotype"/>
        </w:rPr>
        <w:t>green space and pocket parks</w:t>
      </w:r>
      <w:r w:rsidR="00FD20D3" w:rsidRPr="00951ABC">
        <w:rPr>
          <w:rFonts w:ascii="Palatino Linotype" w:hAnsi="Palatino Linotype"/>
        </w:rPr>
        <w:t xml:space="preserve"> to create lively neighborhoods</w:t>
      </w:r>
      <w:r w:rsidR="00FD20D3">
        <w:rPr>
          <w:rFonts w:ascii="Palatino Linotype" w:hAnsi="Palatino Linotype"/>
        </w:rPr>
        <w:t xml:space="preserve"> where residents may walk to shop</w:t>
      </w:r>
      <w:r w:rsidR="00FD20D3" w:rsidRPr="00951ABC">
        <w:rPr>
          <w:rFonts w:ascii="Palatino Linotype" w:hAnsi="Palatino Linotype"/>
        </w:rPr>
        <w:t xml:space="preserve">, work, </w:t>
      </w:r>
      <w:r w:rsidR="00FD20D3">
        <w:rPr>
          <w:rFonts w:ascii="Palatino Linotype" w:hAnsi="Palatino Linotype"/>
        </w:rPr>
        <w:t xml:space="preserve">play, rest, engage, </w:t>
      </w:r>
      <w:r w:rsidR="00FD20D3" w:rsidRPr="00951ABC">
        <w:rPr>
          <w:rFonts w:ascii="Palatino Linotype" w:hAnsi="Palatino Linotype"/>
        </w:rPr>
        <w:t xml:space="preserve">and </w:t>
      </w:r>
      <w:r w:rsidR="00FD20D3">
        <w:rPr>
          <w:rFonts w:ascii="Palatino Linotype" w:hAnsi="Palatino Linotype"/>
        </w:rPr>
        <w:t xml:space="preserve">visit </w:t>
      </w:r>
      <w:r w:rsidR="00FD20D3" w:rsidRPr="00951ABC">
        <w:rPr>
          <w:rFonts w:ascii="Palatino Linotype" w:hAnsi="Palatino Linotype"/>
        </w:rPr>
        <w:t xml:space="preserve">places of interest.  </w:t>
      </w:r>
      <w:r w:rsidR="00FD20D3">
        <w:rPr>
          <w:rFonts w:ascii="Palatino Linotype" w:hAnsi="Palatino Linotype"/>
        </w:rPr>
        <w:t>This</w:t>
      </w:r>
      <w:r w:rsidR="00FD20D3" w:rsidRPr="00951ABC">
        <w:rPr>
          <w:rFonts w:ascii="Palatino Linotype" w:hAnsi="Palatino Linotype"/>
        </w:rPr>
        <w:t xml:space="preserve"> increased density creates more households</w:t>
      </w:r>
      <w:r w:rsidR="00FD20D3">
        <w:rPr>
          <w:rFonts w:ascii="Palatino Linotype" w:hAnsi="Palatino Linotype"/>
        </w:rPr>
        <w:t xml:space="preserve"> and commercial businesses</w:t>
      </w:r>
      <w:r w:rsidR="00FD20D3" w:rsidRPr="00951ABC">
        <w:rPr>
          <w:rFonts w:ascii="Palatino Linotype" w:hAnsi="Palatino Linotype"/>
        </w:rPr>
        <w:t xml:space="preserve"> on a relatively small footprint</w:t>
      </w:r>
      <w:r w:rsidR="00FD20D3">
        <w:rPr>
          <w:rFonts w:ascii="Palatino Linotype" w:hAnsi="Palatino Linotype"/>
        </w:rPr>
        <w:t>,</w:t>
      </w:r>
      <w:r w:rsidR="00FD20D3" w:rsidRPr="00951ABC">
        <w:rPr>
          <w:rFonts w:ascii="Palatino Linotype" w:hAnsi="Palatino Linotype"/>
        </w:rPr>
        <w:t xml:space="preserve"> </w:t>
      </w:r>
      <w:r w:rsidR="00FD20D3">
        <w:rPr>
          <w:rFonts w:ascii="Palatino Linotype" w:hAnsi="Palatino Linotype"/>
        </w:rPr>
        <w:t>with the added benefit of more people</w:t>
      </w:r>
      <w:r w:rsidR="00FD20D3" w:rsidRPr="00951ABC">
        <w:rPr>
          <w:rFonts w:ascii="Palatino Linotype" w:hAnsi="Palatino Linotype"/>
        </w:rPr>
        <w:t xml:space="preserve"> </w:t>
      </w:r>
      <w:r w:rsidR="00FD20D3">
        <w:rPr>
          <w:rFonts w:ascii="Palatino Linotype" w:hAnsi="Palatino Linotype"/>
        </w:rPr>
        <w:t xml:space="preserve">to support the city’s tax base, </w:t>
      </w:r>
      <w:r w:rsidR="00FD20D3" w:rsidRPr="00951ABC">
        <w:rPr>
          <w:rFonts w:ascii="Palatino Linotype" w:hAnsi="Palatino Linotype"/>
        </w:rPr>
        <w:t>curbing</w:t>
      </w:r>
      <w:r w:rsidR="00FD20D3">
        <w:rPr>
          <w:rFonts w:ascii="Palatino Linotype" w:hAnsi="Palatino Linotype"/>
        </w:rPr>
        <w:t xml:space="preserve"> anticipated</w:t>
      </w:r>
      <w:r w:rsidR="00FD20D3" w:rsidRPr="00951ABC">
        <w:rPr>
          <w:rFonts w:ascii="Palatino Linotype" w:hAnsi="Palatino Linotype"/>
        </w:rPr>
        <w:t xml:space="preserve"> tax increase</w:t>
      </w:r>
      <w:r w:rsidR="00FD20D3">
        <w:rPr>
          <w:rFonts w:ascii="Palatino Linotype" w:hAnsi="Palatino Linotype"/>
        </w:rPr>
        <w:t>s and increasing ridership for improved public transit</w:t>
      </w:r>
      <w:r w:rsidR="00FD20D3" w:rsidRPr="00951ABC">
        <w:rPr>
          <w:rFonts w:ascii="Palatino Linotype" w:hAnsi="Palatino Linotype"/>
        </w:rPr>
        <w:t>.</w:t>
      </w:r>
      <w:r w:rsidR="00FD20D3">
        <w:rPr>
          <w:rStyle w:val="FootnoteReference"/>
          <w:rFonts w:ascii="Palatino Linotype" w:hAnsi="Palatino Linotype"/>
        </w:rPr>
        <w:footnoteReference w:id="9"/>
      </w:r>
    </w:p>
    <w:p w:rsidR="00FD20D3" w:rsidRDefault="00FD20D3" w:rsidP="001171C3">
      <w:pPr>
        <w:spacing w:after="120" w:line="360" w:lineRule="auto"/>
        <w:rPr>
          <w:rFonts w:ascii="Palatino Linotype" w:hAnsi="Palatino Linotype"/>
        </w:rPr>
      </w:pPr>
      <w:r w:rsidRPr="0009765F">
        <w:rPr>
          <w:rFonts w:ascii="Palatino Linotype" w:hAnsi="Palatino Linotype" w:cs="Arial"/>
          <w:b/>
          <w:color w:val="222222"/>
          <w:shd w:val="clear" w:color="auto" w:fill="FFFFFF"/>
        </w:rPr>
        <w:t xml:space="preserve">The </w:t>
      </w:r>
      <w:r>
        <w:rPr>
          <w:rFonts w:ascii="Palatino Linotype" w:hAnsi="Palatino Linotype" w:cs="Arial"/>
          <w:b/>
          <w:color w:val="222222"/>
          <w:shd w:val="clear" w:color="auto" w:fill="FFFFFF"/>
        </w:rPr>
        <w:t xml:space="preserve">Unsustainable </w:t>
      </w:r>
      <w:r w:rsidRPr="0009765F">
        <w:rPr>
          <w:rFonts w:ascii="Palatino Linotype" w:hAnsi="Palatino Linotype" w:cs="Arial"/>
          <w:b/>
          <w:color w:val="222222"/>
          <w:shd w:val="clear" w:color="auto" w:fill="FFFFFF"/>
        </w:rPr>
        <w:t>Status Q</w:t>
      </w:r>
      <w:r>
        <w:rPr>
          <w:rFonts w:ascii="Palatino Linotype" w:hAnsi="Palatino Linotype" w:cs="Arial"/>
          <w:b/>
          <w:color w:val="222222"/>
          <w:shd w:val="clear" w:color="auto" w:fill="FFFFFF"/>
        </w:rPr>
        <w:t>uo</w:t>
      </w:r>
      <w:r w:rsidRPr="0009765F">
        <w:rPr>
          <w:rFonts w:ascii="Palatino Linotype" w:hAnsi="Palatino Linotype" w:cs="Arial"/>
          <w:b/>
          <w:color w:val="222222"/>
          <w:shd w:val="clear" w:color="auto" w:fill="FFFFFF"/>
        </w:rPr>
        <w:t xml:space="preserve">. </w:t>
      </w:r>
      <w:r w:rsidRPr="005015CF">
        <w:rPr>
          <w:rFonts w:ascii="Palatino Linotype" w:hAnsi="Palatino Linotype" w:cs="Arial"/>
          <w:color w:val="222222"/>
          <w:shd w:val="clear" w:color="auto" w:fill="FFFFFF"/>
        </w:rPr>
        <w:t>Portl</w:t>
      </w:r>
      <w:r>
        <w:rPr>
          <w:rFonts w:ascii="Palatino Linotype" w:hAnsi="Palatino Linotype" w:cs="Arial"/>
          <w:color w:val="222222"/>
          <w:shd w:val="clear" w:color="auto" w:fill="FFFFFF"/>
        </w:rPr>
        <w:t>and now experiences</w:t>
      </w:r>
      <w:r w:rsidRPr="005015CF">
        <w:rPr>
          <w:rFonts w:ascii="Palatino Linotype" w:hAnsi="Palatino Linotype" w:cs="Arial"/>
          <w:color w:val="222222"/>
          <w:shd w:val="clear" w:color="auto" w:fill="FFFFFF"/>
        </w:rPr>
        <w:t xml:space="preserve"> a boom in construction of hotels, apartments,</w:t>
      </w:r>
      <w:r>
        <w:rPr>
          <w:rFonts w:ascii="Palatino Linotype" w:hAnsi="Palatino Linotype" w:cs="Arial"/>
          <w:color w:val="222222"/>
          <w:shd w:val="clear" w:color="auto" w:fill="FFFFFF"/>
        </w:rPr>
        <w:t xml:space="preserve"> and luxury condominiums; </w:t>
      </w:r>
      <w:r w:rsidRPr="005015CF">
        <w:rPr>
          <w:rFonts w:ascii="Palatino Linotype" w:hAnsi="Palatino Linotype" w:cs="Arial"/>
          <w:color w:val="222222"/>
          <w:shd w:val="clear" w:color="auto" w:fill="FFFFFF"/>
        </w:rPr>
        <w:t xml:space="preserve">but warning clouds on the horizon threaten the city’s long-term prosperity. </w:t>
      </w:r>
      <w:r w:rsidRPr="005015CF">
        <w:rPr>
          <w:rFonts w:ascii="Palatino Linotype" w:hAnsi="Palatino Linotype"/>
        </w:rPr>
        <w:t xml:space="preserve">It faces daunting headwinds in the form of sky-rocketing rents and housing prices, </w:t>
      </w:r>
      <w:r>
        <w:rPr>
          <w:rFonts w:ascii="Palatino Linotype" w:hAnsi="Palatino Linotype"/>
        </w:rPr>
        <w:t xml:space="preserve">neighborhood </w:t>
      </w:r>
      <w:r w:rsidRPr="005015CF">
        <w:rPr>
          <w:rFonts w:ascii="Palatino Linotype" w:hAnsi="Palatino Linotype"/>
        </w:rPr>
        <w:t>gentrification, escalating property taxes,</w:t>
      </w:r>
      <w:r>
        <w:rPr>
          <w:rFonts w:ascii="Palatino Linotype" w:hAnsi="Palatino Linotype"/>
        </w:rPr>
        <w:t xml:space="preserve"> </w:t>
      </w:r>
      <w:r w:rsidRPr="005015CF">
        <w:rPr>
          <w:rFonts w:ascii="Palatino Linotype" w:hAnsi="Palatino Linotype"/>
        </w:rPr>
        <w:t>and a limited city budget to maintain its physical infrastructure and address</w:t>
      </w:r>
      <w:r>
        <w:rPr>
          <w:rFonts w:ascii="Palatino Linotype" w:hAnsi="Palatino Linotype"/>
        </w:rPr>
        <w:t xml:space="preserve"> issues like</w:t>
      </w:r>
      <w:r w:rsidRPr="005015CF">
        <w:rPr>
          <w:rFonts w:ascii="Palatino Linotype" w:hAnsi="Palatino Linotype"/>
        </w:rPr>
        <w:t xml:space="preserve"> homelessness, the opioid epidemic, and the education of its residents, including new immigrants. As a result, Portland risks becoming </w:t>
      </w:r>
      <w:r w:rsidR="004A6B17">
        <w:rPr>
          <w:rFonts w:ascii="Palatino Linotype" w:hAnsi="Palatino Linotype"/>
        </w:rPr>
        <w:t>a city stratified into the rich and</w:t>
      </w:r>
      <w:r w:rsidRPr="005015CF">
        <w:rPr>
          <w:rFonts w:ascii="Palatino Linotype" w:hAnsi="Palatino Linotype"/>
        </w:rPr>
        <w:t xml:space="preserve"> poor, squeezing out the middle class. </w:t>
      </w:r>
    </w:p>
    <w:p w:rsidR="00FD20D3" w:rsidRPr="00A17EC2" w:rsidRDefault="00FD20D3" w:rsidP="001171C3">
      <w:pPr>
        <w:spacing w:after="120" w:line="360" w:lineRule="auto"/>
        <w:rPr>
          <w:rFonts w:ascii="Palatino Linotype" w:hAnsi="Palatino Linotype" w:cs="Arial"/>
          <w:color w:val="222222"/>
          <w:shd w:val="clear" w:color="auto" w:fill="FFFFFF"/>
        </w:rPr>
      </w:pPr>
      <w:r w:rsidRPr="0009765F">
        <w:rPr>
          <w:rFonts w:ascii="Palatino Linotype" w:hAnsi="Palatino Linotype" w:cs="Arial"/>
          <w:color w:val="222222"/>
          <w:shd w:val="clear" w:color="auto" w:fill="FFFFFF"/>
        </w:rPr>
        <w:t>Slow population growth, an aging workforce, and a tight labor market with skilled labor shorta</w:t>
      </w:r>
      <w:r w:rsidR="00CE7F4A">
        <w:rPr>
          <w:rFonts w:ascii="Palatino Linotype" w:hAnsi="Palatino Linotype" w:cs="Arial"/>
          <w:color w:val="222222"/>
          <w:shd w:val="clear" w:color="auto" w:fill="FFFFFF"/>
        </w:rPr>
        <w:t>ges spell trouble for the city</w:t>
      </w:r>
      <w:r>
        <w:rPr>
          <w:rFonts w:ascii="Palatino Linotype" w:hAnsi="Palatino Linotype" w:cs="Arial"/>
          <w:color w:val="222222"/>
          <w:shd w:val="clear" w:color="auto" w:fill="FFFFFF"/>
        </w:rPr>
        <w:t xml:space="preserve">, </w:t>
      </w:r>
      <w:r w:rsidR="00CE7F4A">
        <w:rPr>
          <w:rFonts w:ascii="Palatino Linotype" w:hAnsi="Palatino Linotype" w:cs="Arial"/>
          <w:color w:val="222222"/>
          <w:shd w:val="clear" w:color="auto" w:fill="FFFFFF"/>
        </w:rPr>
        <w:t>the regional, and the state</w:t>
      </w:r>
      <w:r w:rsidRPr="0009765F">
        <w:rPr>
          <w:rFonts w:ascii="Palatino Linotype" w:hAnsi="Palatino Linotype" w:cs="Arial"/>
          <w:color w:val="222222"/>
          <w:shd w:val="clear" w:color="auto" w:fill="FFFFFF"/>
        </w:rPr>
        <w:t xml:space="preserve"> economy.  As a significant </w:t>
      </w:r>
      <w:r w:rsidR="001171C3">
        <w:rPr>
          <w:rFonts w:ascii="Palatino Linotype" w:hAnsi="Palatino Linotype" w:cs="Arial"/>
          <w:color w:val="222222"/>
          <w:shd w:val="clear" w:color="auto" w:fill="FFFFFF"/>
        </w:rPr>
        <w:t>segment</w:t>
      </w:r>
      <w:r>
        <w:rPr>
          <w:rFonts w:ascii="Palatino Linotype" w:hAnsi="Palatino Linotype" w:cs="Arial"/>
          <w:color w:val="222222"/>
          <w:shd w:val="clear" w:color="auto" w:fill="FFFFFF"/>
        </w:rPr>
        <w:t xml:space="preserve"> of the workforce retires</w:t>
      </w:r>
      <w:r w:rsidRPr="0009765F">
        <w:rPr>
          <w:rFonts w:ascii="Palatino Linotype" w:hAnsi="Palatino Linotype" w:cs="Arial"/>
          <w:color w:val="222222"/>
          <w:shd w:val="clear" w:color="auto" w:fill="FFFFFF"/>
        </w:rPr>
        <w:t xml:space="preserve"> over the next ten years</w:t>
      </w:r>
      <w:r>
        <w:rPr>
          <w:rFonts w:ascii="Palatino Linotype" w:hAnsi="Palatino Linotype" w:cs="Arial"/>
          <w:color w:val="222222"/>
          <w:shd w:val="clear" w:color="auto" w:fill="FFFFFF"/>
        </w:rPr>
        <w:t xml:space="preserve">, Portland’s employers </w:t>
      </w:r>
      <w:r w:rsidRPr="0009765F">
        <w:rPr>
          <w:rFonts w:ascii="Palatino Linotype" w:hAnsi="Palatino Linotype" w:cs="Arial"/>
          <w:color w:val="222222"/>
          <w:shd w:val="clear" w:color="auto" w:fill="FFFFFF"/>
        </w:rPr>
        <w:t>face formidable challenges in replacing highly skilled workers.</w:t>
      </w:r>
      <w:r>
        <w:rPr>
          <w:rFonts w:ascii="Palatino Linotype" w:hAnsi="Palatino Linotype" w:cs="Arial"/>
          <w:color w:val="222222"/>
          <w:shd w:val="clear" w:color="auto" w:fill="FFFFFF"/>
        </w:rPr>
        <w:t xml:space="preserve"> This predicted “changing of the guard” will be successful </w:t>
      </w:r>
      <w:r w:rsidRPr="00E96962">
        <w:rPr>
          <w:rFonts w:ascii="Palatino Linotype" w:hAnsi="Palatino Linotype" w:cs="Arial"/>
          <w:i/>
          <w:color w:val="222222"/>
          <w:shd w:val="clear" w:color="auto" w:fill="FFFFFF"/>
        </w:rPr>
        <w:t>only</w:t>
      </w:r>
      <w:r w:rsidR="004A6B17">
        <w:rPr>
          <w:rFonts w:ascii="Palatino Linotype" w:hAnsi="Palatino Linotype" w:cs="Arial"/>
          <w:color w:val="222222"/>
          <w:shd w:val="clear" w:color="auto" w:fill="FFFFFF"/>
        </w:rPr>
        <w:t xml:space="preserve"> if Portland</w:t>
      </w:r>
      <w:r>
        <w:rPr>
          <w:rFonts w:ascii="Palatino Linotype" w:hAnsi="Palatino Linotype" w:cs="Arial"/>
          <w:color w:val="222222"/>
          <w:shd w:val="clear" w:color="auto" w:fill="FFFFFF"/>
        </w:rPr>
        <w:t xml:space="preserve"> attract</w:t>
      </w:r>
      <w:r w:rsidR="004A6B17">
        <w:rPr>
          <w:rFonts w:ascii="Palatino Linotype" w:hAnsi="Palatino Linotype" w:cs="Arial"/>
          <w:color w:val="222222"/>
          <w:shd w:val="clear" w:color="auto" w:fill="FFFFFF"/>
        </w:rPr>
        <w:t>s and retains</w:t>
      </w:r>
      <w:r>
        <w:rPr>
          <w:rFonts w:ascii="Palatino Linotype" w:hAnsi="Palatino Linotype" w:cs="Arial"/>
          <w:color w:val="222222"/>
          <w:shd w:val="clear" w:color="auto" w:fill="FFFFFF"/>
        </w:rPr>
        <w:t xml:space="preserve"> the next generation workforce.</w:t>
      </w:r>
      <w:r w:rsidRPr="00A17EC2">
        <w:rPr>
          <w:rFonts w:ascii="Palatino Linotype" w:hAnsi="Palatino Linotype" w:cs="Arial"/>
          <w:color w:val="222222"/>
          <w:shd w:val="clear" w:color="auto" w:fill="FFFFFF"/>
        </w:rPr>
        <w:t xml:space="preserve"> </w:t>
      </w:r>
      <w:r w:rsidRPr="0009765F">
        <w:rPr>
          <w:rFonts w:ascii="Palatino Linotype" w:hAnsi="Palatino Linotype" w:cs="Arial"/>
          <w:color w:val="222222"/>
          <w:shd w:val="clear" w:color="auto" w:fill="FFFFFF"/>
        </w:rPr>
        <w:t>Housing prices and rents that a</w:t>
      </w:r>
      <w:r>
        <w:rPr>
          <w:rFonts w:ascii="Palatino Linotype" w:hAnsi="Palatino Linotype" w:cs="Arial"/>
          <w:color w:val="222222"/>
          <w:shd w:val="clear" w:color="auto" w:fill="FFFFFF"/>
        </w:rPr>
        <w:t>re out of reach</w:t>
      </w:r>
      <w:r w:rsidRPr="0009765F">
        <w:rPr>
          <w:rFonts w:ascii="Palatino Linotype" w:hAnsi="Palatino Linotype" w:cs="Arial"/>
          <w:color w:val="222222"/>
          <w:shd w:val="clear" w:color="auto" w:fill="FFFFFF"/>
        </w:rPr>
        <w:t xml:space="preserve"> will drive more workers from the city, worsen </w:t>
      </w:r>
      <w:r>
        <w:rPr>
          <w:rFonts w:ascii="Palatino Linotype" w:hAnsi="Palatino Linotype" w:cs="Arial"/>
          <w:color w:val="222222"/>
          <w:shd w:val="clear" w:color="auto" w:fill="FFFFFF"/>
        </w:rPr>
        <w:t xml:space="preserve">traffic </w:t>
      </w:r>
      <w:r w:rsidRPr="0009765F">
        <w:rPr>
          <w:rFonts w:ascii="Palatino Linotype" w:hAnsi="Palatino Linotype" w:cs="Arial"/>
          <w:color w:val="222222"/>
          <w:shd w:val="clear" w:color="auto" w:fill="FFFFFF"/>
        </w:rPr>
        <w:t>congestion</w:t>
      </w:r>
      <w:r>
        <w:rPr>
          <w:rFonts w:ascii="Palatino Linotype" w:hAnsi="Palatino Linotype" w:cs="Arial"/>
          <w:color w:val="222222"/>
          <w:shd w:val="clear" w:color="auto" w:fill="FFFFFF"/>
        </w:rPr>
        <w:t>,</w:t>
      </w:r>
      <w:r w:rsidRPr="0009765F">
        <w:rPr>
          <w:rFonts w:ascii="Palatino Linotype" w:hAnsi="Palatino Linotype" w:cs="Arial"/>
          <w:color w:val="222222"/>
          <w:shd w:val="clear" w:color="auto" w:fill="FFFFFF"/>
        </w:rPr>
        <w:t xml:space="preserve"> make commut</w:t>
      </w:r>
      <w:r>
        <w:rPr>
          <w:rFonts w:ascii="Palatino Linotype" w:hAnsi="Palatino Linotype" w:cs="Arial"/>
          <w:color w:val="222222"/>
          <w:shd w:val="clear" w:color="auto" w:fill="FFFFFF"/>
        </w:rPr>
        <w:t xml:space="preserve">ing </w:t>
      </w:r>
      <w:r w:rsidR="00CF52EE">
        <w:rPr>
          <w:rFonts w:ascii="Palatino Linotype" w:hAnsi="Palatino Linotype" w:cs="Arial"/>
          <w:color w:val="222222"/>
          <w:shd w:val="clear" w:color="auto" w:fill="FFFFFF"/>
        </w:rPr>
        <w:t xml:space="preserve">even </w:t>
      </w:r>
      <w:r>
        <w:rPr>
          <w:rFonts w:ascii="Palatino Linotype" w:hAnsi="Palatino Linotype" w:cs="Arial"/>
          <w:color w:val="222222"/>
          <w:shd w:val="clear" w:color="auto" w:fill="FFFFFF"/>
        </w:rPr>
        <w:t>more stressful and dangerous,</w:t>
      </w:r>
      <w:r>
        <w:rPr>
          <w:rStyle w:val="FootnoteReference"/>
          <w:rFonts w:ascii="Palatino Linotype" w:hAnsi="Palatino Linotype" w:cs="Arial"/>
          <w:color w:val="222222"/>
          <w:shd w:val="clear" w:color="auto" w:fill="FFFFFF"/>
        </w:rPr>
        <w:footnoteReference w:id="10"/>
      </w:r>
      <w:r w:rsidRPr="0009765F">
        <w:rPr>
          <w:rFonts w:ascii="Palatino Linotype" w:hAnsi="Palatino Linotype" w:cs="Arial"/>
          <w:color w:val="222222"/>
          <w:shd w:val="clear" w:color="auto" w:fill="FFFFFF"/>
        </w:rPr>
        <w:t xml:space="preserve"> </w:t>
      </w:r>
      <w:r>
        <w:rPr>
          <w:rFonts w:ascii="Palatino Linotype" w:hAnsi="Palatino Linotype" w:cs="Arial"/>
          <w:color w:val="222222"/>
          <w:shd w:val="clear" w:color="auto" w:fill="FFFFFF"/>
        </w:rPr>
        <w:t xml:space="preserve">further burden resident taxpayers, </w:t>
      </w:r>
      <w:r w:rsidRPr="0009765F">
        <w:rPr>
          <w:rFonts w:ascii="Palatino Linotype" w:hAnsi="Palatino Linotype" w:cs="Arial"/>
          <w:color w:val="222222"/>
          <w:shd w:val="clear" w:color="auto" w:fill="FFFFFF"/>
        </w:rPr>
        <w:t xml:space="preserve">and </w:t>
      </w:r>
      <w:r>
        <w:rPr>
          <w:rFonts w:ascii="Palatino Linotype" w:hAnsi="Palatino Linotype" w:cs="Arial"/>
          <w:color w:val="222222"/>
          <w:shd w:val="clear" w:color="auto" w:fill="FFFFFF"/>
        </w:rPr>
        <w:t xml:space="preserve">convince </w:t>
      </w:r>
      <w:r w:rsidR="00CF52EE">
        <w:rPr>
          <w:rFonts w:ascii="Palatino Linotype" w:hAnsi="Palatino Linotype"/>
        </w:rPr>
        <w:t>employers to locate in</w:t>
      </w:r>
      <w:r w:rsidRPr="00E85564">
        <w:rPr>
          <w:rFonts w:ascii="Palatino Linotype" w:hAnsi="Palatino Linotype"/>
        </w:rPr>
        <w:t xml:space="preserve"> areas where new employees can afford to live.</w:t>
      </w:r>
      <w:r>
        <w:rPr>
          <w:rFonts w:ascii="Palatino Linotype" w:hAnsi="Palatino Linotype"/>
        </w:rPr>
        <w:t xml:space="preserve"> </w:t>
      </w:r>
    </w:p>
    <w:p w:rsidR="00FD20D3" w:rsidRPr="00465751" w:rsidRDefault="00FD20D3" w:rsidP="001171C3">
      <w:pPr>
        <w:spacing w:after="120" w:line="360" w:lineRule="auto"/>
        <w:rPr>
          <w:rFonts w:ascii="Palatino Linotype" w:hAnsi="Palatino Linotype" w:cs="Arial"/>
          <w:color w:val="222222"/>
          <w:shd w:val="clear" w:color="auto" w:fill="FFFFFF"/>
        </w:rPr>
      </w:pPr>
      <w:r>
        <w:rPr>
          <w:rFonts w:ascii="Palatino Linotype" w:hAnsi="Palatino Linotype" w:cs="Arial"/>
          <w:color w:val="222222"/>
          <w:shd w:val="clear" w:color="auto" w:fill="FFFFFF"/>
        </w:rPr>
        <w:lastRenderedPageBreak/>
        <w:t xml:space="preserve">Over the past decade, </w:t>
      </w:r>
      <w:r w:rsidRPr="00B1067F">
        <w:rPr>
          <w:rFonts w:ascii="Palatino Linotype" w:hAnsi="Palatino Linotype" w:cs="Arial"/>
          <w:i/>
          <w:color w:val="222222"/>
          <w:shd w:val="clear" w:color="auto" w:fill="FFFFFF"/>
        </w:rPr>
        <w:t>commuters</w:t>
      </w:r>
      <w:r>
        <w:rPr>
          <w:rFonts w:ascii="Palatino Linotype" w:hAnsi="Palatino Linotype" w:cs="Arial"/>
          <w:color w:val="222222"/>
          <w:shd w:val="clear" w:color="auto" w:fill="FFFFFF"/>
        </w:rPr>
        <w:t xml:space="preserve"> rather than residents have been the overwhelming beneficiaries of Portland’s job growth.</w:t>
      </w:r>
      <w:r>
        <w:rPr>
          <w:rStyle w:val="FootnoteReference"/>
          <w:rFonts w:ascii="Palatino Linotype" w:hAnsi="Palatino Linotype" w:cs="Arial"/>
          <w:color w:val="222222"/>
          <w:shd w:val="clear" w:color="auto" w:fill="FFFFFF"/>
        </w:rPr>
        <w:footnoteReference w:id="11"/>
      </w:r>
      <w:r>
        <w:rPr>
          <w:rFonts w:ascii="Palatino Linotype" w:hAnsi="Palatino Linotype" w:cs="Arial"/>
          <w:color w:val="222222"/>
          <w:shd w:val="clear" w:color="auto" w:fill="FFFFFF"/>
        </w:rPr>
        <w:t xml:space="preserve"> At present,</w:t>
      </w:r>
      <w:r w:rsidRPr="0009765F">
        <w:rPr>
          <w:rFonts w:ascii="Palatino Linotype" w:hAnsi="Palatino Linotype" w:cs="Arial"/>
          <w:color w:val="222222"/>
          <w:shd w:val="clear" w:color="auto" w:fill="FFFFFF"/>
        </w:rPr>
        <w:t xml:space="preserve"> just 25 percent of Portland’s workforce lives </w:t>
      </w:r>
      <w:r>
        <w:rPr>
          <w:rFonts w:ascii="Palatino Linotype" w:hAnsi="Palatino Linotype" w:cs="Arial"/>
          <w:color w:val="222222"/>
          <w:shd w:val="clear" w:color="auto" w:fill="FFFFFF"/>
        </w:rPr>
        <w:t>with</w:t>
      </w:r>
      <w:r w:rsidRPr="0009765F">
        <w:rPr>
          <w:rFonts w:ascii="Palatino Linotype" w:hAnsi="Palatino Linotype" w:cs="Arial"/>
          <w:color w:val="222222"/>
          <w:shd w:val="clear" w:color="auto" w:fill="FFFFFF"/>
        </w:rPr>
        <w:t>in the city.</w:t>
      </w:r>
      <w:r>
        <w:rPr>
          <w:rFonts w:ascii="Palatino Linotype" w:hAnsi="Palatino Linotype" w:cs="Arial"/>
          <w:color w:val="222222"/>
          <w:shd w:val="clear" w:color="auto" w:fill="FFFFFF"/>
        </w:rPr>
        <w:t xml:space="preserve"> Each workday well in excess of 50,000 workers a</w:t>
      </w:r>
      <w:r w:rsidR="008545EE">
        <w:rPr>
          <w:rFonts w:ascii="Palatino Linotype" w:hAnsi="Palatino Linotype" w:cs="Arial"/>
          <w:color w:val="222222"/>
          <w:shd w:val="clear" w:color="auto" w:fill="FFFFFF"/>
        </w:rPr>
        <w:t>rrive and later depart the city, making important parts of the city</w:t>
      </w:r>
      <w:r w:rsidR="00465751">
        <w:rPr>
          <w:rFonts w:ascii="Palatino Linotype" w:hAnsi="Palatino Linotype" w:cs="Arial"/>
          <w:color w:val="222222"/>
          <w:shd w:val="clear" w:color="auto" w:fill="FFFFFF"/>
        </w:rPr>
        <w:t xml:space="preserve"> </w:t>
      </w:r>
      <w:r w:rsidR="008545EE">
        <w:rPr>
          <w:rFonts w:ascii="Palatino Linotype" w:hAnsi="Palatino Linotype" w:cs="Arial"/>
          <w:color w:val="222222"/>
          <w:shd w:val="clear" w:color="auto" w:fill="FFFFFF"/>
        </w:rPr>
        <w:t xml:space="preserve">into transport sluiceways </w:t>
      </w:r>
      <w:r w:rsidR="00465751">
        <w:rPr>
          <w:rFonts w:ascii="Palatino Linotype" w:hAnsi="Palatino Linotype" w:cs="Arial"/>
          <w:color w:val="222222"/>
          <w:shd w:val="clear" w:color="auto" w:fill="FFFFFF"/>
        </w:rPr>
        <w:t>r</w:t>
      </w:r>
      <w:r w:rsidR="008545EE">
        <w:rPr>
          <w:rFonts w:ascii="Palatino Linotype" w:hAnsi="Palatino Linotype" w:cs="Times New Roman"/>
          <w:color w:val="000000" w:themeColor="text1"/>
          <w:shd w:val="clear" w:color="auto" w:fill="FFFFFF"/>
        </w:rPr>
        <w:t>ather than</w:t>
      </w:r>
      <w:r w:rsidR="00465751">
        <w:rPr>
          <w:rFonts w:ascii="Palatino Linotype" w:hAnsi="Palatino Linotype" w:cs="Times New Roman"/>
          <w:color w:val="000000" w:themeColor="text1"/>
          <w:shd w:val="clear" w:color="auto" w:fill="FFFFFF"/>
        </w:rPr>
        <w:t xml:space="preserve"> vibrant neighborhoods. Portland can and should aim to have half its working population live in the city. Businesses locate where the talent is, and talent increasingly chooses to live in the city.</w:t>
      </w:r>
      <w:r w:rsidR="008545EE">
        <w:rPr>
          <w:rFonts w:ascii="Palatino Linotype" w:hAnsi="Palatino Linotype" w:cs="Times New Roman"/>
          <w:color w:val="000000" w:themeColor="text1"/>
          <w:shd w:val="clear" w:color="auto" w:fill="FFFFFF"/>
        </w:rPr>
        <w:t xml:space="preserve"> </w:t>
      </w:r>
      <w:r>
        <w:rPr>
          <w:rFonts w:ascii="Palatino Linotype" w:hAnsi="Palatino Linotype" w:cs="Arial"/>
          <w:color w:val="222222"/>
          <w:shd w:val="clear" w:color="auto" w:fill="FFFFFF"/>
        </w:rPr>
        <w:t xml:space="preserve"> </w:t>
      </w:r>
      <w:r w:rsidRPr="0009765F">
        <w:rPr>
          <w:rFonts w:ascii="Palatino Linotype" w:hAnsi="Palatino Linotype" w:cs="Arial"/>
          <w:color w:val="222222"/>
          <w:shd w:val="clear" w:color="auto" w:fill="FFFFFF"/>
        </w:rPr>
        <w:t xml:space="preserve">Portland has </w:t>
      </w:r>
      <w:r>
        <w:rPr>
          <w:rFonts w:ascii="Palatino Linotype" w:hAnsi="Palatino Linotype" w:cs="Arial"/>
          <w:color w:val="222222"/>
          <w:shd w:val="clear" w:color="auto" w:fill="FFFFFF"/>
        </w:rPr>
        <w:t>many amenities that</w:t>
      </w:r>
      <w:r w:rsidRPr="0009765F">
        <w:rPr>
          <w:rFonts w:ascii="Palatino Linotype" w:hAnsi="Palatino Linotype" w:cs="Arial"/>
          <w:color w:val="222222"/>
          <w:shd w:val="clear" w:color="auto" w:fill="FFFFFF"/>
        </w:rPr>
        <w:t xml:space="preserve"> attract younger workers but lacks housing</w:t>
      </w:r>
      <w:r>
        <w:rPr>
          <w:rFonts w:ascii="Palatino Linotype" w:hAnsi="Palatino Linotype" w:cs="Arial"/>
          <w:color w:val="222222"/>
          <w:shd w:val="clear" w:color="auto" w:fill="FFFFFF"/>
        </w:rPr>
        <w:t xml:space="preserve"> they can afford</w:t>
      </w:r>
      <w:r w:rsidRPr="0009765F">
        <w:rPr>
          <w:rFonts w:ascii="Palatino Linotype" w:hAnsi="Palatino Linotype" w:cs="Arial"/>
          <w:color w:val="222222"/>
          <w:shd w:val="clear" w:color="auto" w:fill="FFFFFF"/>
        </w:rPr>
        <w:t xml:space="preserve">. </w:t>
      </w:r>
      <w:r>
        <w:rPr>
          <w:rFonts w:ascii="Palatino Linotype" w:hAnsi="Palatino Linotype" w:cs="Arial"/>
          <w:color w:val="222222"/>
          <w:shd w:val="clear" w:color="auto" w:fill="FFFFFF"/>
        </w:rPr>
        <w:t xml:space="preserve"> </w:t>
      </w:r>
      <w:r w:rsidRPr="00423CEA">
        <w:rPr>
          <w:rFonts w:ascii="Palatino Linotype" w:hAnsi="Palatino Linotype"/>
        </w:rPr>
        <w:t>By providing housing</w:t>
      </w:r>
      <w:r>
        <w:rPr>
          <w:rFonts w:ascii="Palatino Linotype" w:hAnsi="Palatino Linotype"/>
        </w:rPr>
        <w:t xml:space="preserve"> that is affordable to them</w:t>
      </w:r>
      <w:r w:rsidRPr="00423CEA">
        <w:rPr>
          <w:rFonts w:ascii="Palatino Linotype" w:hAnsi="Palatino Linotype"/>
        </w:rPr>
        <w:t>, Portland can turn a potentially vicious cycl</w:t>
      </w:r>
      <w:r>
        <w:rPr>
          <w:rFonts w:ascii="Palatino Linotype" w:hAnsi="Palatino Linotype"/>
        </w:rPr>
        <w:t>e of decline into a virtuous cycle</w:t>
      </w:r>
      <w:r w:rsidRPr="00423CEA">
        <w:rPr>
          <w:rFonts w:ascii="Palatino Linotype" w:hAnsi="Palatino Linotype"/>
        </w:rPr>
        <w:t xml:space="preserve"> that will </w:t>
      </w:r>
      <w:r>
        <w:rPr>
          <w:rFonts w:ascii="Palatino Linotype" w:hAnsi="Palatino Linotype"/>
        </w:rPr>
        <w:t>attract a skilled labor pool as well as</w:t>
      </w:r>
      <w:r w:rsidR="00465751">
        <w:rPr>
          <w:rFonts w:ascii="Palatino Linotype" w:hAnsi="Palatino Linotype"/>
        </w:rPr>
        <w:t xml:space="preserve"> new employers</w:t>
      </w:r>
      <w:r w:rsidRPr="00423CEA">
        <w:rPr>
          <w:rFonts w:ascii="Palatino Linotype" w:hAnsi="Palatino Linotype"/>
        </w:rPr>
        <w:t>.</w:t>
      </w:r>
      <w:r>
        <w:rPr>
          <w:rStyle w:val="FootnoteReference"/>
          <w:rFonts w:ascii="Palatino Linotype" w:hAnsi="Palatino Linotype"/>
        </w:rPr>
        <w:footnoteReference w:id="12"/>
      </w:r>
      <w:r w:rsidRPr="00423CEA">
        <w:rPr>
          <w:rFonts w:ascii="Palatino Linotype" w:hAnsi="Palatino Linotype"/>
        </w:rPr>
        <w:t xml:space="preserve"> </w:t>
      </w:r>
      <w:r>
        <w:rPr>
          <w:rFonts w:ascii="Palatino Linotype" w:hAnsi="Palatino Linotype"/>
        </w:rPr>
        <w:t xml:space="preserve"> </w:t>
      </w:r>
    </w:p>
    <w:p w:rsidR="00FD20D3" w:rsidRDefault="00FD20D3" w:rsidP="001171C3">
      <w:pPr>
        <w:spacing w:after="120" w:line="360" w:lineRule="auto"/>
        <w:rPr>
          <w:rFonts w:ascii="Palatino Linotype" w:hAnsi="Palatino Linotype"/>
        </w:rPr>
      </w:pPr>
      <w:r>
        <w:rPr>
          <w:rFonts w:ascii="Palatino Linotype" w:hAnsi="Palatino Linotype"/>
        </w:rPr>
        <w:t>Like many older cities, Portland faces a budget climate that limits its ability to invest in its people and in itself – in its aging</w:t>
      </w:r>
      <w:r w:rsidRPr="00423CEA">
        <w:rPr>
          <w:rFonts w:ascii="Palatino Linotype" w:hAnsi="Palatino Linotype"/>
        </w:rPr>
        <w:t xml:space="preserve"> infrastructure in </w:t>
      </w:r>
      <w:r w:rsidR="004A6B17" w:rsidRPr="00423CEA">
        <w:rPr>
          <w:rFonts w:ascii="Palatino Linotype" w:hAnsi="Palatino Linotype"/>
        </w:rPr>
        <w:t>transportation,</w:t>
      </w:r>
      <w:r w:rsidR="004A6B17">
        <w:rPr>
          <w:rFonts w:ascii="Palatino Linotype" w:hAnsi="Palatino Linotype"/>
        </w:rPr>
        <w:t xml:space="preserve"> </w:t>
      </w:r>
      <w:r w:rsidRPr="00423CEA">
        <w:rPr>
          <w:rFonts w:ascii="Palatino Linotype" w:hAnsi="Palatino Linotype"/>
        </w:rPr>
        <w:t>education, water and sewer, and parks and recreation</w:t>
      </w:r>
      <w:r>
        <w:rPr>
          <w:rFonts w:ascii="Palatino Linotype" w:hAnsi="Palatino Linotype"/>
        </w:rPr>
        <w:t>. This is in large part due to the rising pension and health care costs of an aging city workforce, state budget cuts impacting the city, and a growing backlog of deferred maint</w:t>
      </w:r>
      <w:r w:rsidR="00AF477D">
        <w:rPr>
          <w:rFonts w:ascii="Palatino Linotype" w:hAnsi="Palatino Linotype"/>
        </w:rPr>
        <w:t>enance on</w:t>
      </w:r>
      <w:r>
        <w:rPr>
          <w:rFonts w:ascii="Palatino Linotype" w:hAnsi="Palatino Linotype"/>
        </w:rPr>
        <w:t xml:space="preserve"> facilities, vehicles, and equipment. </w:t>
      </w:r>
      <w:r w:rsidR="000A39E5">
        <w:rPr>
          <w:rFonts w:ascii="Palatino Linotype" w:hAnsi="Palatino Linotype"/>
        </w:rPr>
        <w:t xml:space="preserve">The result is that the city is not now raising or securing enough revenues to meet its current obligations </w:t>
      </w:r>
      <w:r w:rsidR="000A39E5" w:rsidRPr="00034EAD">
        <w:rPr>
          <w:rFonts w:ascii="Palatino Linotype" w:hAnsi="Palatino Linotype"/>
          <w:i/>
        </w:rPr>
        <w:t>and</w:t>
      </w:r>
      <w:r w:rsidR="000A39E5">
        <w:rPr>
          <w:rFonts w:ascii="Palatino Linotype" w:hAnsi="Palatino Linotype"/>
        </w:rPr>
        <w:t xml:space="preserve"> </w:t>
      </w:r>
      <w:r w:rsidR="00CE7F4A">
        <w:rPr>
          <w:rFonts w:ascii="Palatino Linotype" w:hAnsi="Palatino Linotype"/>
        </w:rPr>
        <w:t xml:space="preserve">to </w:t>
      </w:r>
      <w:r w:rsidR="000A39E5">
        <w:rPr>
          <w:rFonts w:ascii="Palatino Linotype" w:hAnsi="Palatino Linotype"/>
        </w:rPr>
        <w:t>protect its key public</w:t>
      </w:r>
      <w:r w:rsidR="00CF52EE">
        <w:rPr>
          <w:rFonts w:ascii="Palatino Linotype" w:hAnsi="Palatino Linotype"/>
        </w:rPr>
        <w:t xml:space="preserve"> assets and</w:t>
      </w:r>
      <w:r w:rsidR="000A39E5">
        <w:rPr>
          <w:rFonts w:ascii="Palatino Linotype" w:hAnsi="Palatino Linotype"/>
        </w:rPr>
        <w:t xml:space="preserve"> investments.</w:t>
      </w:r>
    </w:p>
    <w:p w:rsidR="00FE0471" w:rsidRDefault="00FD20D3" w:rsidP="001171C3">
      <w:pPr>
        <w:spacing w:after="120" w:line="360" w:lineRule="auto"/>
        <w:rPr>
          <w:rFonts w:ascii="Palatino Linotype" w:hAnsi="Palatino Linotype"/>
        </w:rPr>
      </w:pPr>
      <w:r>
        <w:rPr>
          <w:rFonts w:ascii="Palatino Linotype" w:hAnsi="Palatino Linotype"/>
        </w:rPr>
        <w:t>A recent independent study found that four of the city’s ten elementary schools – all 40 to 60 years old – require some $70 million in upgrades and renovations. The city’s middle and high schools will, as well, require significant capital improvements within the next 5 to 10 years.</w:t>
      </w:r>
      <w:r>
        <w:rPr>
          <w:rStyle w:val="FootnoteReference"/>
          <w:rFonts w:ascii="Palatino Linotype" w:hAnsi="Palatino Linotype"/>
        </w:rPr>
        <w:footnoteReference w:id="13"/>
      </w:r>
      <w:r>
        <w:rPr>
          <w:rFonts w:ascii="Palatino Linotype" w:hAnsi="Palatino Linotype"/>
        </w:rPr>
        <w:t xml:space="preserve"> The </w:t>
      </w:r>
      <w:r w:rsidR="00CE7F4A">
        <w:rPr>
          <w:rFonts w:ascii="Palatino Linotype" w:hAnsi="Palatino Linotype"/>
        </w:rPr>
        <w:t xml:space="preserve">city’s </w:t>
      </w:r>
      <w:r>
        <w:rPr>
          <w:rFonts w:ascii="Palatino Linotype" w:hAnsi="Palatino Linotype"/>
        </w:rPr>
        <w:t>most recent Capital Improvement Plan (2016-2020) estimates t</w:t>
      </w:r>
      <w:r w:rsidR="00CE7F4A">
        <w:rPr>
          <w:rFonts w:ascii="Palatino Linotype" w:hAnsi="Palatino Linotype"/>
        </w:rPr>
        <w:t>he replacement value of its</w:t>
      </w:r>
      <w:r>
        <w:rPr>
          <w:rFonts w:ascii="Palatino Linotype" w:hAnsi="Palatino Linotype"/>
        </w:rPr>
        <w:t xml:space="preserve"> capital assets at some $830 million. If these assets were scheduled for replacement over, say, </w:t>
      </w:r>
      <w:r>
        <w:rPr>
          <w:rFonts w:ascii="Palatino Linotype" w:hAnsi="Palatino Linotype"/>
        </w:rPr>
        <w:lastRenderedPageBreak/>
        <w:t xml:space="preserve">a reasonable 45 to 50 year period, it would require roughly 50 percent more </w:t>
      </w:r>
      <w:r w:rsidR="00CF52EE">
        <w:rPr>
          <w:rFonts w:ascii="Palatino Linotype" w:hAnsi="Palatino Linotype"/>
        </w:rPr>
        <w:t xml:space="preserve">in </w:t>
      </w:r>
      <w:r>
        <w:rPr>
          <w:rFonts w:ascii="Palatino Linotype" w:hAnsi="Palatino Linotype"/>
        </w:rPr>
        <w:t>annual borrowing</w:t>
      </w:r>
      <w:r w:rsidR="00AF477D">
        <w:rPr>
          <w:rFonts w:ascii="Palatino Linotype" w:hAnsi="Palatino Linotype"/>
        </w:rPr>
        <w:t xml:space="preserve"> than is proposed in the</w:t>
      </w:r>
      <w:r>
        <w:rPr>
          <w:rFonts w:ascii="Palatino Linotype" w:hAnsi="Palatino Linotype"/>
        </w:rPr>
        <w:t xml:space="preserve"> plan</w:t>
      </w:r>
      <w:r w:rsidR="00405FA1">
        <w:rPr>
          <w:rFonts w:ascii="Palatino Linotype" w:hAnsi="Palatino Linotype"/>
        </w:rPr>
        <w:t xml:space="preserve">, </w:t>
      </w:r>
      <w:r w:rsidR="00F254E1">
        <w:rPr>
          <w:rFonts w:ascii="Palatino Linotype" w:hAnsi="Palatino Linotype"/>
        </w:rPr>
        <w:t>and burdensome</w:t>
      </w:r>
      <w:r w:rsidR="00405FA1">
        <w:rPr>
          <w:rFonts w:ascii="Palatino Linotype" w:hAnsi="Palatino Linotype"/>
        </w:rPr>
        <w:t xml:space="preserve"> property tax increases for all.</w:t>
      </w:r>
      <w:r w:rsidR="00D54324">
        <w:rPr>
          <w:rStyle w:val="FootnoteReference"/>
          <w:rFonts w:ascii="Palatino Linotype" w:hAnsi="Palatino Linotype"/>
        </w:rPr>
        <w:footnoteReference w:id="14"/>
      </w:r>
      <w:r>
        <w:rPr>
          <w:rFonts w:ascii="Palatino Linotype" w:hAnsi="Palatino Linotype"/>
        </w:rPr>
        <w:t xml:space="preserve"> </w:t>
      </w:r>
    </w:p>
    <w:p w:rsidR="00FD20D3" w:rsidRDefault="00FD20D3" w:rsidP="001171C3">
      <w:pPr>
        <w:spacing w:after="120" w:line="360" w:lineRule="auto"/>
        <w:rPr>
          <w:rFonts w:ascii="Palatino Linotype" w:hAnsi="Palatino Linotype"/>
        </w:rPr>
      </w:pPr>
      <w:r>
        <w:rPr>
          <w:rFonts w:ascii="Palatino Linotype" w:hAnsi="Palatino Linotype"/>
        </w:rPr>
        <w:t>In funding these projects through debt financing, the city must adhere to guidelines of credit ratings agencies that restrict the debt service payments it may carry without risking a lower credit rating and further increases in borrowing costs.</w:t>
      </w:r>
      <w:r>
        <w:rPr>
          <w:rStyle w:val="FootnoteReference"/>
          <w:rFonts w:ascii="Palatino Linotype" w:hAnsi="Palatino Linotype"/>
        </w:rPr>
        <w:footnoteReference w:id="15"/>
      </w:r>
      <w:r>
        <w:rPr>
          <w:rFonts w:ascii="Palatino Linotype" w:hAnsi="Palatino Linotype"/>
        </w:rPr>
        <w:t xml:space="preserve"> As a result, the city’s current budget process seeks to minimize annual increases to taxpayers while funding only the most critical and pressing infrastructure needs to </w:t>
      </w:r>
      <w:r w:rsidRPr="003346A7">
        <w:rPr>
          <w:rFonts w:ascii="Palatino Linotype" w:hAnsi="Palatino Linotype"/>
        </w:rPr>
        <w:t>maintain</w:t>
      </w:r>
      <w:r>
        <w:rPr>
          <w:rFonts w:ascii="Palatino Linotype" w:hAnsi="Palatino Linotype"/>
        </w:rPr>
        <w:t xml:space="preserve"> basic services. </w:t>
      </w:r>
    </w:p>
    <w:p w:rsidR="00FD20D3" w:rsidRPr="00726991" w:rsidRDefault="00FD20D3" w:rsidP="001171C3">
      <w:pPr>
        <w:spacing w:after="120" w:line="360" w:lineRule="auto"/>
        <w:rPr>
          <w:rFonts w:ascii="Palatino Linotype" w:hAnsi="Palatino Linotype"/>
        </w:rPr>
      </w:pPr>
      <w:r>
        <w:rPr>
          <w:rFonts w:ascii="Palatino Linotype" w:hAnsi="Palatino Linotype"/>
        </w:rPr>
        <w:t xml:space="preserve">Given the number of variables and uncertainties involved, it is not possible without site-specific analysis to predict the fiscal impacts of increased growth and </w:t>
      </w:r>
      <w:r w:rsidR="00CE7F4A">
        <w:rPr>
          <w:rFonts w:ascii="Palatino Linotype" w:hAnsi="Palatino Linotype"/>
        </w:rPr>
        <w:t xml:space="preserve">property </w:t>
      </w:r>
      <w:r>
        <w:rPr>
          <w:rFonts w:ascii="Palatino Linotype" w:hAnsi="Palatino Linotype"/>
        </w:rPr>
        <w:t xml:space="preserve">valuation. </w:t>
      </w:r>
      <w:r w:rsidRPr="00726991">
        <w:rPr>
          <w:rFonts w:ascii="Palatino Linotype" w:hAnsi="Palatino Linotype"/>
        </w:rPr>
        <w:t>We believe, however, that well-planned growth in population and the city’s residential and commercial tax base is the most direct way to constrain future increases in the tax burden. This will best be accomplished by stra</w:t>
      </w:r>
      <w:r w:rsidR="00505FE0" w:rsidRPr="00726991">
        <w:rPr>
          <w:rFonts w:ascii="Palatino Linotype" w:hAnsi="Palatino Linotype"/>
        </w:rPr>
        <w:t xml:space="preserve">tegically encouraging </w:t>
      </w:r>
      <w:r w:rsidR="00584C1C" w:rsidRPr="00726991">
        <w:rPr>
          <w:rFonts w:ascii="Palatino Linotype" w:hAnsi="Palatino Linotype"/>
        </w:rPr>
        <w:t xml:space="preserve">and incentivizing </w:t>
      </w:r>
      <w:r w:rsidRPr="00726991">
        <w:rPr>
          <w:rFonts w:ascii="Palatino Linotype" w:hAnsi="Palatino Linotype"/>
        </w:rPr>
        <w:t>development where it leverages existing infrastructure capacity along the city’s major thoroughfares and in</w:t>
      </w:r>
      <w:r w:rsidR="00AF477D" w:rsidRPr="00726991">
        <w:rPr>
          <w:rFonts w:ascii="Palatino Linotype" w:hAnsi="Palatino Linotype"/>
        </w:rPr>
        <w:t xml:space="preserve"> select</w:t>
      </w:r>
      <w:r w:rsidRPr="00726991">
        <w:rPr>
          <w:rFonts w:ascii="Palatino Linotype" w:hAnsi="Palatino Linotype"/>
        </w:rPr>
        <w:t xml:space="preserve"> neighborhood centers.  </w:t>
      </w:r>
    </w:p>
    <w:p w:rsidR="00D02157" w:rsidRDefault="00FD20D3" w:rsidP="001171C3">
      <w:pPr>
        <w:spacing w:after="120" w:line="360" w:lineRule="auto"/>
        <w:rPr>
          <w:rFonts w:ascii="Palatino Linotype" w:hAnsi="Palatino Linotype"/>
          <w:i/>
        </w:rPr>
      </w:pPr>
      <w:r w:rsidRPr="00726991">
        <w:rPr>
          <w:rFonts w:ascii="Palatino Linotype" w:hAnsi="Palatino Linotype"/>
          <w:i/>
        </w:rPr>
        <w:t xml:space="preserve">Growing the city’s workforce, housing stock, and commercial tax base is the most direct means to attract and retain workers, meet employer needs, lighten the tax </w:t>
      </w:r>
      <w:r w:rsidR="00AF477D" w:rsidRPr="00726991">
        <w:rPr>
          <w:rFonts w:ascii="Palatino Linotype" w:hAnsi="Palatino Linotype"/>
          <w:i/>
        </w:rPr>
        <w:t xml:space="preserve">burden, and sustain the quality of </w:t>
      </w:r>
      <w:r w:rsidRPr="00726991">
        <w:rPr>
          <w:rFonts w:ascii="Palatino Linotype" w:hAnsi="Palatino Linotype"/>
          <w:i/>
        </w:rPr>
        <w:t>life services that people love about Portland.</w:t>
      </w:r>
    </w:p>
    <w:p w:rsidR="00CE7F4A" w:rsidRPr="00CE7F4A" w:rsidRDefault="00CE7F4A" w:rsidP="00CE7F4A">
      <w:pPr>
        <w:spacing w:after="120" w:line="360" w:lineRule="auto"/>
        <w:rPr>
          <w:rFonts w:ascii="Palatino Linotype" w:hAnsi="Palatino Linotype"/>
        </w:rPr>
      </w:pPr>
      <w:r>
        <w:rPr>
          <w:rFonts w:ascii="Palatino Linotype" w:hAnsi="Palatino Linotype"/>
          <w:b/>
        </w:rPr>
        <w:t>Responding to the Workforce Challenge</w:t>
      </w:r>
      <w:r w:rsidR="00FD20D3">
        <w:rPr>
          <w:rFonts w:ascii="Palatino Linotype" w:hAnsi="Palatino Linotype"/>
          <w:b/>
        </w:rPr>
        <w:t xml:space="preserve">. </w:t>
      </w:r>
      <w:r w:rsidR="00FD20D3" w:rsidRPr="00966FFC">
        <w:rPr>
          <w:rFonts w:ascii="Palatino Linotype" w:hAnsi="Palatino Linotype"/>
        </w:rPr>
        <w:t xml:space="preserve"> </w:t>
      </w:r>
      <w:r w:rsidRPr="00CE7F4A">
        <w:rPr>
          <w:rFonts w:ascii="Palatino Linotype" w:hAnsi="Palatino Linotype"/>
        </w:rPr>
        <w:t>British historian A.J. Toynbee</w:t>
      </w:r>
      <w:r w:rsidR="00FC14DE">
        <w:rPr>
          <w:rFonts w:ascii="Palatino Linotype" w:hAnsi="Palatino Linotype"/>
        </w:rPr>
        <w:t>, having</w:t>
      </w:r>
      <w:r w:rsidRPr="00CE7F4A">
        <w:rPr>
          <w:rFonts w:ascii="Palatino Linotype" w:hAnsi="Palatino Linotype"/>
        </w:rPr>
        <w:t xml:space="preserve"> studied the rise and</w:t>
      </w:r>
      <w:r w:rsidR="00FC14DE">
        <w:rPr>
          <w:rFonts w:ascii="Palatino Linotype" w:hAnsi="Palatino Linotype"/>
        </w:rPr>
        <w:t xml:space="preserve"> fall of 26 civilizations, </w:t>
      </w:r>
      <w:r w:rsidRPr="00CE7F4A">
        <w:rPr>
          <w:rFonts w:ascii="Palatino Linotype" w:hAnsi="Palatino Linotype"/>
        </w:rPr>
        <w:t>presented all human progress in terms of a “challenge-and-response” dynamic.  He concluded that civilizations arose in response to a set of challenges of extreme difficulty, when creative leadership devised solutions that re-oriented their entire society. When leadership responded creatively to the challenge, it prospered; and when leadership no longer responded creatively, it sank into failure, often through nationalism, militarism, and tyranny.</w:t>
      </w:r>
      <w:r w:rsidRPr="00CE7F4A">
        <w:rPr>
          <w:rStyle w:val="FootnoteReference"/>
          <w:rFonts w:ascii="Palatino Linotype" w:hAnsi="Palatino Linotype"/>
          <w:b/>
        </w:rPr>
        <w:t xml:space="preserve"> </w:t>
      </w:r>
      <w:r>
        <w:rPr>
          <w:rStyle w:val="FootnoteReference"/>
          <w:rFonts w:ascii="Palatino Linotype" w:hAnsi="Palatino Linotype"/>
          <w:b/>
        </w:rPr>
        <w:footnoteReference w:id="16"/>
      </w:r>
    </w:p>
    <w:p w:rsidR="00FD20D3" w:rsidRPr="00D02157" w:rsidRDefault="00FD20D3" w:rsidP="00CE7F4A">
      <w:pPr>
        <w:spacing w:after="120" w:line="360" w:lineRule="auto"/>
        <w:rPr>
          <w:rFonts w:ascii="Palatino Linotype" w:hAnsi="Palatino Linotype"/>
          <w:i/>
        </w:rPr>
      </w:pPr>
      <w:r>
        <w:rPr>
          <w:rFonts w:ascii="Palatino Linotype" w:hAnsi="Palatino Linotype"/>
        </w:rPr>
        <w:lastRenderedPageBreak/>
        <w:t xml:space="preserve">The Portland economy fully recovered from the Great Recession of 2008-09 with 4,000 more jobs in 2014 than ten years earlier.  But as the baby-boom generation retires, a skilled worker shortage has begun to grip Portland and other parts of the state.  </w:t>
      </w:r>
      <w:r w:rsidRPr="00F049EC">
        <w:rPr>
          <w:rFonts w:ascii="Palatino Linotype" w:hAnsi="Palatino Linotype"/>
        </w:rPr>
        <w:t xml:space="preserve">The Maine State Chamber of Commerce recently reported that </w:t>
      </w:r>
      <w:r>
        <w:rPr>
          <w:rFonts w:ascii="Palatino Linotype" w:hAnsi="Palatino Linotype"/>
        </w:rPr>
        <w:t>between 2013 and 2016</w:t>
      </w:r>
      <w:r w:rsidRPr="00F049EC">
        <w:rPr>
          <w:rFonts w:ascii="Palatino Linotype" w:hAnsi="Palatino Linotype"/>
        </w:rPr>
        <w:t xml:space="preserve"> Maine lost 5 percent of its workforce</w:t>
      </w:r>
      <w:r>
        <w:rPr>
          <w:rFonts w:ascii="Palatino Linotype" w:hAnsi="Palatino Linotype"/>
        </w:rPr>
        <w:t xml:space="preserve"> just due to aging</w:t>
      </w:r>
      <w:r w:rsidRPr="00F049EC">
        <w:rPr>
          <w:rFonts w:ascii="Palatino Linotype" w:hAnsi="Palatino Linotype"/>
        </w:rPr>
        <w:t xml:space="preserve">. The state projects that nearly 1 in 4 </w:t>
      </w:r>
      <w:r>
        <w:rPr>
          <w:rFonts w:ascii="Palatino Linotype" w:hAnsi="Palatino Linotype"/>
        </w:rPr>
        <w:t xml:space="preserve">Maine residents </w:t>
      </w:r>
      <w:r w:rsidRPr="00F049EC">
        <w:rPr>
          <w:rFonts w:ascii="Palatino Linotype" w:hAnsi="Palatino Linotype"/>
        </w:rPr>
        <w:t>will be 65 or older in 2022</w:t>
      </w:r>
      <w:r>
        <w:rPr>
          <w:rFonts w:ascii="Palatino Linotype" w:hAnsi="Palatino Linotype"/>
        </w:rPr>
        <w:t xml:space="preserve">, </w:t>
      </w:r>
      <w:r w:rsidRPr="00F049EC">
        <w:rPr>
          <w:rFonts w:ascii="Palatino Linotype" w:hAnsi="Palatino Linotype"/>
        </w:rPr>
        <w:t>just 6 years from now.</w:t>
      </w:r>
      <w:r w:rsidR="00706AC8">
        <w:rPr>
          <w:rStyle w:val="FootnoteReference"/>
          <w:rFonts w:ascii="Palatino Linotype" w:hAnsi="Palatino Linotype"/>
        </w:rPr>
        <w:footnoteReference w:id="17"/>
      </w:r>
      <w:r w:rsidRPr="00F049EC">
        <w:rPr>
          <w:rFonts w:ascii="Palatino Linotype" w:hAnsi="Palatino Linotype"/>
        </w:rPr>
        <w:t xml:space="preserve"> </w:t>
      </w:r>
    </w:p>
    <w:p w:rsidR="00FD20D3" w:rsidRDefault="00FD20D3" w:rsidP="001171C3">
      <w:pPr>
        <w:spacing w:after="120" w:line="360" w:lineRule="auto"/>
        <w:rPr>
          <w:rFonts w:ascii="Palatino Linotype" w:hAnsi="Palatino Linotype"/>
        </w:rPr>
      </w:pPr>
      <w:r w:rsidRPr="00F049EC">
        <w:rPr>
          <w:rFonts w:ascii="Palatino Linotype" w:hAnsi="Palatino Linotype"/>
        </w:rPr>
        <w:t>Training young workers to replace a retiring workforce and attracting younger</w:t>
      </w:r>
      <w:r>
        <w:rPr>
          <w:rFonts w:ascii="Palatino Linotype" w:hAnsi="Palatino Linotype"/>
        </w:rPr>
        <w:t>,</w:t>
      </w:r>
      <w:r w:rsidRPr="00F049EC">
        <w:rPr>
          <w:rFonts w:ascii="Palatino Linotype" w:hAnsi="Palatino Linotype"/>
        </w:rPr>
        <w:t xml:space="preserve"> high</w:t>
      </w:r>
      <w:r>
        <w:rPr>
          <w:rFonts w:ascii="Palatino Linotype" w:hAnsi="Palatino Linotype"/>
        </w:rPr>
        <w:t>-</w:t>
      </w:r>
      <w:r w:rsidRPr="00F049EC">
        <w:rPr>
          <w:rFonts w:ascii="Palatino Linotype" w:hAnsi="Palatino Linotype"/>
        </w:rPr>
        <w:t>skilled knowledge</w:t>
      </w:r>
      <w:r>
        <w:rPr>
          <w:rFonts w:ascii="Palatino Linotype" w:hAnsi="Palatino Linotype"/>
        </w:rPr>
        <w:t xml:space="preserve"> workers from outside the state</w:t>
      </w:r>
      <w:r w:rsidRPr="00F049EC">
        <w:rPr>
          <w:rFonts w:ascii="Palatino Linotype" w:hAnsi="Palatino Linotype"/>
        </w:rPr>
        <w:t xml:space="preserve"> </w:t>
      </w:r>
      <w:r>
        <w:rPr>
          <w:rFonts w:ascii="Palatino Linotype" w:hAnsi="Palatino Linotype"/>
        </w:rPr>
        <w:t>are now</w:t>
      </w:r>
      <w:r w:rsidRPr="00F049EC">
        <w:rPr>
          <w:rFonts w:ascii="Palatino Linotype" w:hAnsi="Palatino Linotype"/>
        </w:rPr>
        <w:t xml:space="preserve"> </w:t>
      </w:r>
      <w:r w:rsidRPr="006115A1">
        <w:rPr>
          <w:rFonts w:ascii="Palatino Linotype" w:hAnsi="Palatino Linotype"/>
          <w:i/>
        </w:rPr>
        <w:t>urgent</w:t>
      </w:r>
      <w:r w:rsidRPr="00F049EC">
        <w:rPr>
          <w:rFonts w:ascii="Palatino Linotype" w:hAnsi="Palatino Linotype"/>
        </w:rPr>
        <w:t xml:space="preserve"> task</w:t>
      </w:r>
      <w:r>
        <w:rPr>
          <w:rFonts w:ascii="Palatino Linotype" w:hAnsi="Palatino Linotype"/>
        </w:rPr>
        <w:t>s</w:t>
      </w:r>
      <w:r w:rsidRPr="00F049EC">
        <w:rPr>
          <w:rFonts w:ascii="Palatino Linotype" w:hAnsi="Palatino Linotype"/>
        </w:rPr>
        <w:t xml:space="preserve"> for the</w:t>
      </w:r>
      <w:r>
        <w:rPr>
          <w:rFonts w:ascii="Palatino Linotype" w:hAnsi="Palatino Linotype"/>
        </w:rPr>
        <w:t xml:space="preserve"> city,</w:t>
      </w:r>
      <w:r w:rsidRPr="00F049EC">
        <w:rPr>
          <w:rFonts w:ascii="Palatino Linotype" w:hAnsi="Palatino Linotype"/>
        </w:rPr>
        <w:t xml:space="preserve"> </w:t>
      </w:r>
      <w:r>
        <w:rPr>
          <w:rFonts w:ascii="Palatino Linotype" w:hAnsi="Palatino Linotype"/>
        </w:rPr>
        <w:t xml:space="preserve">the </w:t>
      </w:r>
      <w:r w:rsidRPr="00F049EC">
        <w:rPr>
          <w:rFonts w:ascii="Palatino Linotype" w:hAnsi="Palatino Linotype"/>
        </w:rPr>
        <w:t>state</w:t>
      </w:r>
      <w:r>
        <w:rPr>
          <w:rFonts w:ascii="Palatino Linotype" w:hAnsi="Palatino Linotype"/>
        </w:rPr>
        <w:t>,</w:t>
      </w:r>
      <w:r w:rsidRPr="00F049EC">
        <w:rPr>
          <w:rFonts w:ascii="Palatino Linotype" w:hAnsi="Palatino Linotype"/>
        </w:rPr>
        <w:t xml:space="preserve"> and its businesses. Many of these young</w:t>
      </w:r>
      <w:r>
        <w:rPr>
          <w:rFonts w:ascii="Palatino Linotype" w:hAnsi="Palatino Linotype"/>
        </w:rPr>
        <w:t>er</w:t>
      </w:r>
      <w:r w:rsidRPr="00F049EC">
        <w:rPr>
          <w:rFonts w:ascii="Palatino Linotype" w:hAnsi="Palatino Linotype"/>
        </w:rPr>
        <w:t xml:space="preserve"> </w:t>
      </w:r>
      <w:r>
        <w:rPr>
          <w:rFonts w:ascii="Palatino Linotype" w:hAnsi="Palatino Linotype"/>
        </w:rPr>
        <w:t>workers</w:t>
      </w:r>
      <w:r w:rsidRPr="00F049EC">
        <w:rPr>
          <w:rFonts w:ascii="Palatino Linotype" w:hAnsi="Palatino Linotype"/>
        </w:rPr>
        <w:t xml:space="preserve"> will likely seek to live in Portland – and employers wil</w:t>
      </w:r>
      <w:r>
        <w:rPr>
          <w:rFonts w:ascii="Palatino Linotype" w:hAnsi="Palatino Linotype"/>
        </w:rPr>
        <w:t>l be competing for them</w:t>
      </w:r>
      <w:r w:rsidRPr="00F049EC">
        <w:rPr>
          <w:rFonts w:ascii="Palatino Linotype" w:hAnsi="Palatino Linotype"/>
        </w:rPr>
        <w:t xml:space="preserve"> with Boston, New York</w:t>
      </w:r>
      <w:r>
        <w:rPr>
          <w:rFonts w:ascii="Palatino Linotype" w:hAnsi="Palatino Linotype"/>
        </w:rPr>
        <w:t>,</w:t>
      </w:r>
      <w:r w:rsidRPr="00F049EC">
        <w:rPr>
          <w:rFonts w:ascii="Palatino Linotype" w:hAnsi="Palatino Linotype"/>
        </w:rPr>
        <w:t xml:space="preserve"> and San Francisco.  </w:t>
      </w:r>
    </w:p>
    <w:p w:rsidR="00FD20D3" w:rsidRPr="00951ABC" w:rsidRDefault="00FD20D3" w:rsidP="001171C3">
      <w:pPr>
        <w:spacing w:after="120" w:line="360" w:lineRule="auto"/>
        <w:rPr>
          <w:rFonts w:ascii="Palatino Linotype" w:hAnsi="Palatino Linotype"/>
        </w:rPr>
      </w:pPr>
      <w:r w:rsidRPr="00951ABC">
        <w:rPr>
          <w:rFonts w:ascii="Palatino Linotype" w:hAnsi="Palatino Linotype"/>
        </w:rPr>
        <w:t>Portland</w:t>
      </w:r>
      <w:r>
        <w:rPr>
          <w:rFonts w:ascii="Palatino Linotype" w:hAnsi="Palatino Linotype"/>
        </w:rPr>
        <w:t xml:space="preserve"> has long</w:t>
      </w:r>
      <w:r w:rsidRPr="00951ABC">
        <w:rPr>
          <w:rFonts w:ascii="Palatino Linotype" w:hAnsi="Palatino Linotype"/>
        </w:rPr>
        <w:t xml:space="preserve"> been a welcoming and inclusive city with a </w:t>
      </w:r>
      <w:r>
        <w:rPr>
          <w:rFonts w:ascii="Palatino Linotype" w:hAnsi="Palatino Linotype"/>
        </w:rPr>
        <w:t xml:space="preserve">strong </w:t>
      </w:r>
      <w:r w:rsidRPr="00951ABC">
        <w:rPr>
          <w:rFonts w:ascii="Palatino Linotype" w:hAnsi="Palatino Linotype"/>
        </w:rPr>
        <w:t>sense of economic and social justice</w:t>
      </w:r>
      <w:r>
        <w:rPr>
          <w:rFonts w:ascii="Palatino Linotype" w:hAnsi="Palatino Linotype"/>
        </w:rPr>
        <w:t>,</w:t>
      </w:r>
      <w:r w:rsidRPr="00951ABC">
        <w:rPr>
          <w:rFonts w:ascii="Palatino Linotype" w:hAnsi="Palatino Linotype"/>
        </w:rPr>
        <w:t xml:space="preserve"> bringing together residents of all ethnic, religious, and socio-economic backgrounds. The city currently has</w:t>
      </w:r>
      <w:r>
        <w:rPr>
          <w:rFonts w:ascii="Palatino Linotype" w:hAnsi="Palatino Linotype"/>
        </w:rPr>
        <w:t xml:space="preserve"> a growing community of</w:t>
      </w:r>
      <w:r w:rsidRPr="00951ABC">
        <w:rPr>
          <w:rFonts w:ascii="Palatino Linotype" w:hAnsi="Palatino Linotype"/>
        </w:rPr>
        <w:t xml:space="preserve"> </w:t>
      </w:r>
      <w:r>
        <w:rPr>
          <w:rFonts w:ascii="Palatino Linotype" w:hAnsi="Palatino Linotype"/>
        </w:rPr>
        <w:t xml:space="preserve">some </w:t>
      </w:r>
      <w:r w:rsidRPr="00951ABC">
        <w:rPr>
          <w:rFonts w:ascii="Palatino Linotype" w:hAnsi="Palatino Linotype"/>
        </w:rPr>
        <w:t>10,000 foreign</w:t>
      </w:r>
      <w:r>
        <w:rPr>
          <w:rFonts w:ascii="Palatino Linotype" w:hAnsi="Palatino Linotype"/>
        </w:rPr>
        <w:t>-</w:t>
      </w:r>
      <w:r w:rsidRPr="00951ABC">
        <w:rPr>
          <w:rFonts w:ascii="Palatino Linotype" w:hAnsi="Palatino Linotype"/>
        </w:rPr>
        <w:t>born residents</w:t>
      </w:r>
      <w:r>
        <w:rPr>
          <w:rFonts w:ascii="Palatino Linotype" w:hAnsi="Palatino Linotype"/>
        </w:rPr>
        <w:t xml:space="preserve"> who </w:t>
      </w:r>
      <w:r w:rsidRPr="00951ABC">
        <w:rPr>
          <w:rFonts w:ascii="Palatino Linotype" w:hAnsi="Palatino Linotype"/>
        </w:rPr>
        <w:t xml:space="preserve">provide the city and the region with a </w:t>
      </w:r>
      <w:r>
        <w:rPr>
          <w:rFonts w:ascii="Palatino Linotype" w:hAnsi="Palatino Linotype"/>
        </w:rPr>
        <w:t>sorely-</w:t>
      </w:r>
      <w:r w:rsidRPr="00951ABC">
        <w:rPr>
          <w:rFonts w:ascii="Palatino Linotype" w:hAnsi="Palatino Linotype"/>
        </w:rPr>
        <w:t>needed labor pool.  The challenge for the city and state w</w:t>
      </w:r>
      <w:r w:rsidR="00CF52EE">
        <w:rPr>
          <w:rFonts w:ascii="Palatino Linotype" w:hAnsi="Palatino Linotype"/>
        </w:rPr>
        <w:t>ill be to provide the proper skills</w:t>
      </w:r>
      <w:r w:rsidRPr="00951ABC">
        <w:rPr>
          <w:rFonts w:ascii="Palatino Linotype" w:hAnsi="Palatino Linotype"/>
        </w:rPr>
        <w:t xml:space="preserve"> training for these residents and education for their children to become </w:t>
      </w:r>
      <w:r>
        <w:rPr>
          <w:rFonts w:ascii="Palatino Linotype" w:hAnsi="Palatino Linotype"/>
        </w:rPr>
        <w:t>even more valuable</w:t>
      </w:r>
      <w:r w:rsidRPr="00951ABC">
        <w:rPr>
          <w:rFonts w:ascii="Palatino Linotype" w:hAnsi="Palatino Linotype"/>
        </w:rPr>
        <w:t xml:space="preserve"> members of the workforce</w:t>
      </w:r>
      <w:r>
        <w:rPr>
          <w:rFonts w:ascii="Palatino Linotype" w:hAnsi="Palatino Linotype"/>
        </w:rPr>
        <w:t xml:space="preserve"> and civil</w:t>
      </w:r>
      <w:r w:rsidRPr="00951ABC">
        <w:rPr>
          <w:rFonts w:ascii="Palatino Linotype" w:hAnsi="Palatino Linotype"/>
        </w:rPr>
        <w:t xml:space="preserve"> society.</w:t>
      </w:r>
      <w:r w:rsidR="005850AD">
        <w:rPr>
          <w:rStyle w:val="FootnoteReference"/>
          <w:rFonts w:ascii="Palatino Linotype" w:hAnsi="Palatino Linotype"/>
        </w:rPr>
        <w:footnoteReference w:id="18"/>
      </w:r>
    </w:p>
    <w:p w:rsidR="00FD20D3" w:rsidRDefault="00FD20D3" w:rsidP="001171C3">
      <w:pPr>
        <w:shd w:val="clear" w:color="auto" w:fill="FFFFFF"/>
        <w:spacing w:after="120" w:line="360" w:lineRule="auto"/>
        <w:rPr>
          <w:rFonts w:ascii="Palatino Linotype" w:hAnsi="Palatino Linotype"/>
        </w:rPr>
      </w:pPr>
      <w:r w:rsidRPr="00951ABC">
        <w:rPr>
          <w:rFonts w:ascii="Palatino Linotype" w:hAnsi="Palatino Linotype"/>
          <w:i/>
        </w:rPr>
        <w:t>Focus Maine</w:t>
      </w:r>
      <w:r w:rsidRPr="00F049EC">
        <w:rPr>
          <w:rFonts w:ascii="Palatino Linotype" w:hAnsi="Palatino Linotype"/>
        </w:rPr>
        <w:t xml:space="preserve">, a group of </w:t>
      </w:r>
      <w:r>
        <w:rPr>
          <w:rFonts w:ascii="Palatino Linotype" w:hAnsi="Palatino Linotype"/>
        </w:rPr>
        <w:t xml:space="preserve">local </w:t>
      </w:r>
      <w:r w:rsidRPr="00F049EC">
        <w:rPr>
          <w:rFonts w:ascii="Palatino Linotype" w:hAnsi="Palatino Linotype"/>
        </w:rPr>
        <w:t>busines</w:t>
      </w:r>
      <w:r>
        <w:rPr>
          <w:rFonts w:ascii="Palatino Linotype" w:hAnsi="Palatino Linotype"/>
        </w:rPr>
        <w:t>s leaders an</w:t>
      </w:r>
      <w:r w:rsidR="00AF477D">
        <w:rPr>
          <w:rFonts w:ascii="Palatino Linotype" w:hAnsi="Palatino Linotype"/>
        </w:rPr>
        <w:t>d policy experts, has</w:t>
      </w:r>
      <w:r w:rsidRPr="00F049EC">
        <w:rPr>
          <w:rFonts w:ascii="Palatino Linotype" w:hAnsi="Palatino Linotype"/>
        </w:rPr>
        <w:t xml:space="preserve"> identified three potential </w:t>
      </w:r>
      <w:r>
        <w:rPr>
          <w:rFonts w:ascii="Palatino Linotype" w:hAnsi="Palatino Linotype"/>
        </w:rPr>
        <w:t>“</w:t>
      </w:r>
      <w:r w:rsidRPr="00F049EC">
        <w:rPr>
          <w:rFonts w:ascii="Palatino Linotype" w:hAnsi="Palatino Linotype"/>
        </w:rPr>
        <w:t>signature industries</w:t>
      </w:r>
      <w:r>
        <w:rPr>
          <w:rFonts w:ascii="Palatino Linotype" w:hAnsi="Palatino Linotype"/>
        </w:rPr>
        <w:t>”</w:t>
      </w:r>
      <w:r w:rsidRPr="00F049EC">
        <w:rPr>
          <w:rFonts w:ascii="Palatino Linotype" w:hAnsi="Palatino Linotype"/>
        </w:rPr>
        <w:t xml:space="preserve"> for Maine</w:t>
      </w:r>
      <w:r>
        <w:rPr>
          <w:rFonts w:ascii="Palatino Linotype" w:hAnsi="Palatino Linotype"/>
        </w:rPr>
        <w:t>’s future</w:t>
      </w:r>
      <w:r w:rsidRPr="00F049EC">
        <w:rPr>
          <w:rFonts w:ascii="Palatino Linotype" w:hAnsi="Palatino Linotype"/>
        </w:rPr>
        <w:t xml:space="preserve"> – biopharmaceuticals, agriculture, and aquacul</w:t>
      </w:r>
      <w:r>
        <w:rPr>
          <w:rFonts w:ascii="Palatino Linotype" w:hAnsi="Palatino Linotype"/>
        </w:rPr>
        <w:t>ture.</w:t>
      </w:r>
      <w:r w:rsidR="00053156">
        <w:rPr>
          <w:rStyle w:val="FootnoteReference"/>
          <w:rFonts w:ascii="Palatino Linotype" w:hAnsi="Palatino Linotype"/>
        </w:rPr>
        <w:footnoteReference w:id="19"/>
      </w:r>
      <w:r>
        <w:rPr>
          <w:rFonts w:ascii="Palatino Linotype" w:hAnsi="Palatino Linotype"/>
        </w:rPr>
        <w:t xml:space="preserve">  Portland’s restaurants,</w:t>
      </w:r>
      <w:r w:rsidRPr="00F049EC">
        <w:rPr>
          <w:rFonts w:ascii="Palatino Linotype" w:hAnsi="Palatino Linotype"/>
        </w:rPr>
        <w:t xml:space="preserve"> fishi</w:t>
      </w:r>
      <w:r>
        <w:rPr>
          <w:rFonts w:ascii="Palatino Linotype" w:hAnsi="Palatino Linotype"/>
        </w:rPr>
        <w:t>ng and lobster industry, and</w:t>
      </w:r>
      <w:r w:rsidRPr="00F049EC">
        <w:rPr>
          <w:rFonts w:ascii="Palatino Linotype" w:hAnsi="Palatino Linotype"/>
        </w:rPr>
        <w:t xml:space="preserve"> </w:t>
      </w:r>
      <w:r w:rsidR="00FC14DE">
        <w:rPr>
          <w:rFonts w:ascii="Palatino Linotype" w:hAnsi="Palatino Linotype"/>
        </w:rPr>
        <w:t xml:space="preserve">newly-expanded </w:t>
      </w:r>
      <w:r w:rsidRPr="00F049EC">
        <w:rPr>
          <w:rFonts w:ascii="Palatino Linotype" w:hAnsi="Palatino Linotype"/>
        </w:rPr>
        <w:t xml:space="preserve">export capability will be central to this effort.  </w:t>
      </w:r>
      <w:r w:rsidRPr="00951ABC">
        <w:rPr>
          <w:rFonts w:ascii="Palatino Linotype" w:hAnsi="Palatino Linotype"/>
          <w:i/>
        </w:rPr>
        <w:t>Focus Maine</w:t>
      </w:r>
      <w:r w:rsidRPr="00F049EC">
        <w:rPr>
          <w:rFonts w:ascii="Palatino Linotype" w:hAnsi="Palatino Linotype"/>
        </w:rPr>
        <w:t xml:space="preserve"> aims to grow these industries by adding</w:t>
      </w:r>
      <w:r>
        <w:rPr>
          <w:rFonts w:ascii="Palatino Linotype" w:hAnsi="Palatino Linotype"/>
        </w:rPr>
        <w:t xml:space="preserve"> between 19,000</w:t>
      </w:r>
      <w:r w:rsidRPr="00F049EC">
        <w:rPr>
          <w:rFonts w:ascii="Palatino Linotype" w:hAnsi="Palatino Linotype"/>
        </w:rPr>
        <w:t xml:space="preserve"> and</w:t>
      </w:r>
      <w:r>
        <w:rPr>
          <w:rFonts w:ascii="Palatino Linotype" w:hAnsi="Palatino Linotype"/>
        </w:rPr>
        <w:t xml:space="preserve"> 44,000</w:t>
      </w:r>
      <w:r w:rsidRPr="00F049EC">
        <w:rPr>
          <w:rFonts w:ascii="Palatino Linotype" w:hAnsi="Palatino Linotype"/>
        </w:rPr>
        <w:t xml:space="preserve"> jobs</w:t>
      </w:r>
      <w:r>
        <w:rPr>
          <w:rFonts w:ascii="Palatino Linotype" w:hAnsi="Palatino Linotype"/>
        </w:rPr>
        <w:t>,</w:t>
      </w:r>
      <w:r w:rsidRPr="00F049EC">
        <w:rPr>
          <w:rFonts w:ascii="Palatino Linotype" w:hAnsi="Palatino Linotype"/>
        </w:rPr>
        <w:t xml:space="preserve"> and</w:t>
      </w:r>
      <w:r>
        <w:rPr>
          <w:rFonts w:ascii="Palatino Linotype" w:hAnsi="Palatino Linotype"/>
        </w:rPr>
        <w:t xml:space="preserve"> increasing exports between $500 million and $1.4</w:t>
      </w:r>
      <w:r w:rsidRPr="00F049EC">
        <w:rPr>
          <w:rFonts w:ascii="Palatino Linotype" w:hAnsi="Palatino Linotype"/>
        </w:rPr>
        <w:t xml:space="preserve"> bil</w:t>
      </w:r>
      <w:r>
        <w:rPr>
          <w:rFonts w:ascii="Palatino Linotype" w:hAnsi="Palatino Linotype"/>
        </w:rPr>
        <w:t xml:space="preserve">lion within 10 years.  It </w:t>
      </w:r>
      <w:r>
        <w:rPr>
          <w:rFonts w:ascii="Palatino Linotype" w:hAnsi="Palatino Linotype"/>
        </w:rPr>
        <w:lastRenderedPageBreak/>
        <w:t>envisions Portland as part of a Boston-to-</w:t>
      </w:r>
      <w:r w:rsidRPr="00F049EC">
        <w:rPr>
          <w:rFonts w:ascii="Palatino Linotype" w:hAnsi="Palatino Linotype"/>
        </w:rPr>
        <w:t xml:space="preserve">Portland </w:t>
      </w:r>
      <w:r>
        <w:rPr>
          <w:rFonts w:ascii="Palatino Linotype" w:hAnsi="Palatino Linotype"/>
        </w:rPr>
        <w:t xml:space="preserve">industrial </w:t>
      </w:r>
      <w:r w:rsidRPr="00F049EC">
        <w:rPr>
          <w:rFonts w:ascii="Palatino Linotype" w:hAnsi="Palatino Linotype"/>
        </w:rPr>
        <w:t>c</w:t>
      </w:r>
      <w:r>
        <w:rPr>
          <w:rFonts w:ascii="Palatino Linotype" w:hAnsi="Palatino Linotype"/>
        </w:rPr>
        <w:t>orridor that has the</w:t>
      </w:r>
      <w:r w:rsidRPr="00F049EC">
        <w:rPr>
          <w:rFonts w:ascii="Palatino Linotype" w:hAnsi="Palatino Linotype"/>
        </w:rPr>
        <w:t xml:space="preserve"> opportunity to attract businesses as Boston’s knowledge</w:t>
      </w:r>
      <w:r>
        <w:rPr>
          <w:rFonts w:ascii="Palatino Linotype" w:hAnsi="Palatino Linotype"/>
        </w:rPr>
        <w:t>-based industries</w:t>
      </w:r>
      <w:r w:rsidRPr="00F049EC">
        <w:rPr>
          <w:rFonts w:ascii="Palatino Linotype" w:hAnsi="Palatino Linotype"/>
        </w:rPr>
        <w:t xml:space="preserve"> expand</w:t>
      </w:r>
      <w:r>
        <w:rPr>
          <w:rFonts w:ascii="Palatino Linotype" w:hAnsi="Palatino Linotype"/>
        </w:rPr>
        <w:t xml:space="preserve"> northward. </w:t>
      </w:r>
    </w:p>
    <w:p w:rsidR="00AF477D" w:rsidRDefault="00FD20D3" w:rsidP="001171C3">
      <w:pPr>
        <w:shd w:val="clear" w:color="auto" w:fill="FFFFFF"/>
        <w:spacing w:after="120" w:line="360" w:lineRule="auto"/>
        <w:rPr>
          <w:rFonts w:ascii="Palatino Linotype" w:hAnsi="Palatino Linotype"/>
        </w:rPr>
      </w:pPr>
      <w:r>
        <w:rPr>
          <w:rFonts w:ascii="Palatino Linotype" w:hAnsi="Palatino Linotype"/>
        </w:rPr>
        <w:t xml:space="preserve">To secure these opportunities for Portland residents, the city will need to employ </w:t>
      </w:r>
      <w:r w:rsidRPr="00966FFC">
        <w:rPr>
          <w:rFonts w:ascii="Palatino Linotype" w:hAnsi="Palatino Linotype"/>
        </w:rPr>
        <w:t>aggressive workforce development strateg</w:t>
      </w:r>
      <w:r>
        <w:rPr>
          <w:rFonts w:ascii="Palatino Linotype" w:hAnsi="Palatino Linotype"/>
        </w:rPr>
        <w:t xml:space="preserve">ies, to attract and train </w:t>
      </w:r>
      <w:r w:rsidRPr="00966FFC">
        <w:rPr>
          <w:rFonts w:ascii="Palatino Linotype" w:hAnsi="Palatino Linotype"/>
        </w:rPr>
        <w:t>workers at all skill lev</w:t>
      </w:r>
      <w:r>
        <w:rPr>
          <w:rFonts w:ascii="Palatino Linotype" w:hAnsi="Palatino Linotype"/>
        </w:rPr>
        <w:t>els across the economy.  These include</w:t>
      </w:r>
      <w:r w:rsidRPr="00966FFC">
        <w:rPr>
          <w:rFonts w:ascii="Palatino Linotype" w:hAnsi="Palatino Linotype"/>
        </w:rPr>
        <w:t>:</w:t>
      </w:r>
    </w:p>
    <w:p w:rsidR="00FD20D3" w:rsidRPr="00AF477D" w:rsidRDefault="00AF477D" w:rsidP="001171C3">
      <w:pPr>
        <w:shd w:val="clear" w:color="auto" w:fill="FFFFFF"/>
        <w:spacing w:after="120" w:line="360" w:lineRule="auto"/>
        <w:rPr>
          <w:rFonts w:ascii="Palatino Linotype" w:hAnsi="Palatino Linotype"/>
        </w:rPr>
      </w:pPr>
      <w:r>
        <w:rPr>
          <w:rFonts w:ascii="Palatino Linotype" w:hAnsi="Palatino Linotype"/>
          <w:i/>
        </w:rPr>
        <w:t xml:space="preserve">1. </w:t>
      </w:r>
      <w:r w:rsidR="00FD20D3" w:rsidRPr="00AF477D">
        <w:rPr>
          <w:rFonts w:ascii="Palatino Linotype" w:hAnsi="Palatino Linotype"/>
          <w:i/>
        </w:rPr>
        <w:t>Developing and attracting knowledge workers.</w:t>
      </w:r>
      <w:r>
        <w:rPr>
          <w:rFonts w:ascii="Palatino Linotype" w:hAnsi="Palatino Linotype"/>
        </w:rPr>
        <w:t xml:space="preserve">  To ensure replacement and a continuing supply </w:t>
      </w:r>
      <w:r w:rsidR="00FD20D3" w:rsidRPr="00AF477D">
        <w:rPr>
          <w:rFonts w:ascii="Palatino Linotype" w:hAnsi="Palatino Linotype"/>
        </w:rPr>
        <w:t xml:space="preserve">of high skill-high wage professionals, more aggressive collaboration is needed among the region’s post-secondary institutions, </w:t>
      </w:r>
      <w:r w:rsidR="00726991">
        <w:rPr>
          <w:rFonts w:ascii="Palatino Linotype" w:hAnsi="Palatino Linotype"/>
        </w:rPr>
        <w:t xml:space="preserve">their </w:t>
      </w:r>
      <w:r w:rsidR="00726991" w:rsidRPr="00AF477D">
        <w:rPr>
          <w:rFonts w:ascii="Palatino Linotype" w:hAnsi="Palatino Linotype"/>
        </w:rPr>
        <w:t>students,</w:t>
      </w:r>
      <w:r w:rsidR="00726991">
        <w:rPr>
          <w:rFonts w:ascii="Palatino Linotype" w:hAnsi="Palatino Linotype"/>
        </w:rPr>
        <w:t xml:space="preserve"> </w:t>
      </w:r>
      <w:r w:rsidR="00FD20D3" w:rsidRPr="00AF477D">
        <w:rPr>
          <w:rFonts w:ascii="Palatino Linotype" w:hAnsi="Palatino Linotype"/>
        </w:rPr>
        <w:t>and employers.  This collaboration must focus on aligning academic programs of study with the needs of employers; promotion and expansion of internships and service learning opportunities that extend the classroom into the community; regular performance and skills validation of new graduates entering the job market; and active promotion of Portland as</w:t>
      </w:r>
      <w:r w:rsidR="00CF52EE">
        <w:rPr>
          <w:rFonts w:ascii="Palatino Linotype" w:hAnsi="Palatino Linotype"/>
        </w:rPr>
        <w:t xml:space="preserve"> a</w:t>
      </w:r>
      <w:r w:rsidR="00FD20D3" w:rsidRPr="00AF477D">
        <w:rPr>
          <w:rFonts w:ascii="Palatino Linotype" w:hAnsi="Palatino Linotype"/>
        </w:rPr>
        <w:t xml:space="preserve"> destination for college graduates seeking employment; and </w:t>
      </w:r>
    </w:p>
    <w:p w:rsidR="00FD20D3" w:rsidRDefault="00AF477D" w:rsidP="001171C3">
      <w:pPr>
        <w:spacing w:after="120" w:line="360" w:lineRule="auto"/>
        <w:rPr>
          <w:rFonts w:ascii="Palatino Linotype" w:hAnsi="Palatino Linotype"/>
        </w:rPr>
      </w:pPr>
      <w:r>
        <w:rPr>
          <w:rFonts w:ascii="Palatino Linotype" w:hAnsi="Palatino Linotype"/>
          <w:i/>
        </w:rPr>
        <w:t xml:space="preserve">2. </w:t>
      </w:r>
      <w:r w:rsidR="00FD20D3" w:rsidRPr="00205F05">
        <w:rPr>
          <w:rFonts w:ascii="Palatino Linotype" w:hAnsi="Palatino Linotype"/>
          <w:i/>
        </w:rPr>
        <w:t>Building career ladders and advancement opportunities.</w:t>
      </w:r>
      <w:r w:rsidR="00FD20D3" w:rsidRPr="00DD6EE0">
        <w:rPr>
          <w:rFonts w:ascii="Palatino Linotype" w:hAnsi="Palatino Linotype"/>
        </w:rPr>
        <w:t xml:space="preserve">  </w:t>
      </w:r>
      <w:r w:rsidR="00FD20D3" w:rsidRPr="00966FFC">
        <w:rPr>
          <w:rFonts w:ascii="Palatino Linotype" w:hAnsi="Palatino Linotype"/>
        </w:rPr>
        <w:t>The Portland economy will continue to generate jobs requiring limited skills and offering low</w:t>
      </w:r>
      <w:r w:rsidR="00FD20D3">
        <w:rPr>
          <w:rFonts w:ascii="Palatino Linotype" w:hAnsi="Palatino Linotype"/>
        </w:rPr>
        <w:t>er</w:t>
      </w:r>
      <w:r w:rsidR="00FD20D3" w:rsidRPr="00966FFC">
        <w:rPr>
          <w:rFonts w:ascii="Palatino Linotype" w:hAnsi="Palatino Linotype"/>
        </w:rPr>
        <w:t xml:space="preserve"> wages</w:t>
      </w:r>
      <w:r w:rsidR="00CF52EE">
        <w:rPr>
          <w:rFonts w:ascii="Palatino Linotype" w:hAnsi="Palatino Linotype"/>
        </w:rPr>
        <w:t xml:space="preserve">, </w:t>
      </w:r>
      <w:r w:rsidR="00FD20D3" w:rsidRPr="00966FFC">
        <w:rPr>
          <w:rFonts w:ascii="Palatino Linotype" w:hAnsi="Palatino Linotype"/>
        </w:rPr>
        <w:t>remain</w:t>
      </w:r>
      <w:r w:rsidR="00CF52EE">
        <w:rPr>
          <w:rFonts w:ascii="Palatino Linotype" w:hAnsi="Palatino Linotype"/>
        </w:rPr>
        <w:t>ing</w:t>
      </w:r>
      <w:r w:rsidR="00FD20D3" w:rsidRPr="00966FFC">
        <w:rPr>
          <w:rFonts w:ascii="Palatino Linotype" w:hAnsi="Palatino Linotype"/>
        </w:rPr>
        <w:t xml:space="preserve"> a</w:t>
      </w:r>
      <w:r w:rsidR="00FD20D3">
        <w:rPr>
          <w:rFonts w:ascii="Palatino Linotype" w:hAnsi="Palatino Linotype"/>
        </w:rPr>
        <w:t>n entry employment</w:t>
      </w:r>
      <w:r w:rsidR="00FD20D3" w:rsidRPr="00966FFC">
        <w:rPr>
          <w:rFonts w:ascii="Palatino Linotype" w:hAnsi="Palatino Linotype"/>
        </w:rPr>
        <w:t xml:space="preserve"> p</w:t>
      </w:r>
      <w:r w:rsidR="00FD20D3">
        <w:rPr>
          <w:rFonts w:ascii="Palatino Linotype" w:hAnsi="Palatino Linotype"/>
        </w:rPr>
        <w:t xml:space="preserve">athway for thousands of individuals, including immigrants. </w:t>
      </w:r>
      <w:r w:rsidR="00FD20D3" w:rsidRPr="00966FFC">
        <w:rPr>
          <w:rFonts w:ascii="Palatino Linotype" w:hAnsi="Palatino Linotype"/>
        </w:rPr>
        <w:t xml:space="preserve">Programs for career preparation and certification, associate degree programs, employer-based training, apprenticeships and other means for employment qualification must be developed for the industry sectors </w:t>
      </w:r>
      <w:r w:rsidR="00FD20D3">
        <w:rPr>
          <w:rFonts w:ascii="Palatino Linotype" w:hAnsi="Palatino Linotype"/>
        </w:rPr>
        <w:t>that drive</w:t>
      </w:r>
      <w:r w:rsidR="00FD20D3" w:rsidRPr="00966FFC">
        <w:rPr>
          <w:rFonts w:ascii="Palatino Linotype" w:hAnsi="Palatino Linotype"/>
        </w:rPr>
        <w:t xml:space="preserve"> t</w:t>
      </w:r>
      <w:r w:rsidR="00FD20D3">
        <w:rPr>
          <w:rFonts w:ascii="Palatino Linotype" w:hAnsi="Palatino Linotype"/>
        </w:rPr>
        <w:t>oday’s regional economy.  Unprecedented</w:t>
      </w:r>
      <w:r w:rsidR="00FD20D3" w:rsidRPr="00966FFC">
        <w:rPr>
          <w:rFonts w:ascii="Palatino Linotype" w:hAnsi="Palatino Linotype"/>
        </w:rPr>
        <w:t xml:space="preserve"> collaboration will be required among educators and employers.  </w:t>
      </w:r>
    </w:p>
    <w:p w:rsidR="00FD20D3" w:rsidRDefault="00A67ADB" w:rsidP="008761D6">
      <w:pPr>
        <w:spacing w:after="0" w:line="240" w:lineRule="auto"/>
        <w:rPr>
          <w:rFonts w:ascii="Palatino Linotype" w:hAnsi="Palatino Linotype"/>
          <w:i/>
        </w:rPr>
      </w:pPr>
      <w:r>
        <w:rPr>
          <w:rFonts w:ascii="Palatino Linotype" w:hAnsi="Palatino Linotype"/>
          <w:i/>
        </w:rPr>
        <w:t>We strongly recommend the early convening of</w:t>
      </w:r>
      <w:r w:rsidR="00FD20D3" w:rsidRPr="00BA1CB6">
        <w:rPr>
          <w:rFonts w:ascii="Palatino Linotype" w:hAnsi="Palatino Linotype"/>
          <w:i/>
        </w:rPr>
        <w:t xml:space="preserve"> a summit of the city’s</w:t>
      </w:r>
      <w:r>
        <w:rPr>
          <w:rFonts w:ascii="Palatino Linotype" w:hAnsi="Palatino Linotype"/>
          <w:i/>
        </w:rPr>
        <w:t xml:space="preserve"> political,</w:t>
      </w:r>
      <w:r w:rsidR="00FD20D3" w:rsidRPr="00BA1CB6">
        <w:rPr>
          <w:rFonts w:ascii="Palatino Linotype" w:hAnsi="Palatino Linotype"/>
          <w:i/>
        </w:rPr>
        <w:t xml:space="preserve"> business</w:t>
      </w:r>
      <w:r>
        <w:rPr>
          <w:rFonts w:ascii="Palatino Linotype" w:hAnsi="Palatino Linotype"/>
          <w:i/>
        </w:rPr>
        <w:t>,</w:t>
      </w:r>
      <w:r w:rsidR="00FD20D3" w:rsidRPr="00BA1CB6">
        <w:rPr>
          <w:rFonts w:ascii="Palatino Linotype" w:hAnsi="Palatino Linotype"/>
          <w:i/>
        </w:rPr>
        <w:t xml:space="preserve"> and education leaders to address these urgent and compelling</w:t>
      </w:r>
      <w:r w:rsidR="00FD20D3">
        <w:rPr>
          <w:rFonts w:ascii="Palatino Linotype" w:hAnsi="Palatino Linotype"/>
          <w:i/>
        </w:rPr>
        <w:t xml:space="preserve"> workforce</w:t>
      </w:r>
      <w:r w:rsidR="00FD20D3" w:rsidRPr="00BA1CB6">
        <w:rPr>
          <w:rFonts w:ascii="Palatino Linotype" w:hAnsi="Palatino Linotype"/>
          <w:i/>
        </w:rPr>
        <w:t xml:space="preserve"> issues. </w:t>
      </w:r>
    </w:p>
    <w:p w:rsidR="008761D6" w:rsidRPr="00B652C6" w:rsidRDefault="008761D6" w:rsidP="008761D6">
      <w:pPr>
        <w:spacing w:after="0" w:line="240" w:lineRule="auto"/>
        <w:rPr>
          <w:rFonts w:ascii="Palatino Linotype" w:hAnsi="Palatino Linotype"/>
        </w:rPr>
      </w:pPr>
    </w:p>
    <w:p w:rsidR="00B43FF8" w:rsidRPr="008761D6" w:rsidRDefault="00FC14DE" w:rsidP="008761D6">
      <w:pPr>
        <w:spacing w:after="120" w:line="360" w:lineRule="auto"/>
        <w:rPr>
          <w:rFonts w:ascii="Palatino Linotype" w:hAnsi="Palatino Linotype"/>
        </w:rPr>
      </w:pPr>
      <w:r>
        <w:rPr>
          <w:rFonts w:ascii="Palatino Linotype" w:hAnsi="Palatino Linotype"/>
          <w:b/>
        </w:rPr>
        <w:t>Responding to the Housing Challenge</w:t>
      </w:r>
      <w:r w:rsidR="00FD20D3" w:rsidRPr="0091359B">
        <w:rPr>
          <w:rFonts w:ascii="Palatino Linotype" w:hAnsi="Palatino Linotype"/>
          <w:b/>
        </w:rPr>
        <w:t>.</w:t>
      </w:r>
      <w:r w:rsidR="00FD20D3">
        <w:rPr>
          <w:rFonts w:ascii="Palatino Linotype" w:hAnsi="Palatino Linotype"/>
        </w:rPr>
        <w:t xml:space="preserve"> </w:t>
      </w:r>
      <w:r w:rsidR="00FD20D3" w:rsidRPr="00F049EC">
        <w:rPr>
          <w:rFonts w:ascii="Palatino Linotype" w:hAnsi="Palatino Linotype"/>
        </w:rPr>
        <w:t xml:space="preserve">Given Maine’s overall slow growth today, </w:t>
      </w:r>
      <w:r w:rsidR="00FD20D3" w:rsidRPr="00F049EC">
        <w:rPr>
          <w:rFonts w:ascii="Palatino Linotype" w:hAnsi="Palatino Linotype"/>
          <w:bCs/>
        </w:rPr>
        <w:t>Portland’s success as a</w:t>
      </w:r>
      <w:r w:rsidR="00FD20D3">
        <w:rPr>
          <w:rFonts w:ascii="Palatino Linotype" w:hAnsi="Palatino Linotype"/>
          <w:bCs/>
        </w:rPr>
        <w:t>n</w:t>
      </w:r>
      <w:r w:rsidR="00FD20D3" w:rsidRPr="00F049EC">
        <w:rPr>
          <w:rFonts w:ascii="Palatino Linotype" w:hAnsi="Palatino Linotype"/>
          <w:bCs/>
        </w:rPr>
        <w:t xml:space="preserve"> urban destination is important not just for Portland, </w:t>
      </w:r>
      <w:r w:rsidR="00FD20D3">
        <w:rPr>
          <w:rFonts w:ascii="Palatino Linotype" w:hAnsi="Palatino Linotype"/>
          <w:bCs/>
        </w:rPr>
        <w:t>but for all of Maine. How may the city</w:t>
      </w:r>
      <w:r w:rsidR="00FD20D3" w:rsidRPr="00F049EC">
        <w:rPr>
          <w:rFonts w:ascii="Palatino Linotype" w:hAnsi="Palatino Linotype"/>
          <w:bCs/>
        </w:rPr>
        <w:t xml:space="preserve"> </w:t>
      </w:r>
      <w:r w:rsidR="00FD20D3">
        <w:rPr>
          <w:rFonts w:ascii="Palatino Linotype" w:hAnsi="Palatino Linotype"/>
          <w:bCs/>
        </w:rPr>
        <w:t xml:space="preserve">best </w:t>
      </w:r>
      <w:r w:rsidR="00FD20D3" w:rsidRPr="00F049EC">
        <w:rPr>
          <w:rFonts w:ascii="Palatino Linotype" w:hAnsi="Palatino Linotype"/>
          <w:bCs/>
        </w:rPr>
        <w:t>absorb the potential demand – and,</w:t>
      </w:r>
      <w:r w:rsidR="00726991">
        <w:rPr>
          <w:rFonts w:ascii="Palatino Linotype" w:hAnsi="Palatino Linotype"/>
          <w:bCs/>
        </w:rPr>
        <w:t xml:space="preserve"> for example, </w:t>
      </w:r>
      <w:r w:rsidR="008C2A3A">
        <w:rPr>
          <w:rFonts w:ascii="Palatino Linotype" w:hAnsi="Palatino Linotype"/>
          <w:bCs/>
        </w:rPr>
        <w:t>build</w:t>
      </w:r>
      <w:r w:rsidR="00FD20D3">
        <w:rPr>
          <w:rFonts w:ascii="Palatino Linotype" w:hAnsi="Palatino Linotype"/>
          <w:bCs/>
        </w:rPr>
        <w:t xml:space="preserve"> a city that might enjoy </w:t>
      </w:r>
      <w:r w:rsidR="00FD20D3">
        <w:rPr>
          <w:rFonts w:ascii="Palatino Linotype" w:hAnsi="Palatino Linotype"/>
          <w:bCs/>
        </w:rPr>
        <w:lastRenderedPageBreak/>
        <w:t>a population of 75</w:t>
      </w:r>
      <w:r w:rsidR="00FD20D3" w:rsidRPr="00F049EC">
        <w:rPr>
          <w:rFonts w:ascii="Palatino Linotype" w:hAnsi="Palatino Linotype"/>
          <w:bCs/>
        </w:rPr>
        <w:t>,000 or even</w:t>
      </w:r>
      <w:r w:rsidR="00FD20D3">
        <w:rPr>
          <w:rFonts w:ascii="Palatino Linotype" w:hAnsi="Palatino Linotype"/>
          <w:bCs/>
        </w:rPr>
        <w:t xml:space="preserve"> 90 to 100,000 </w:t>
      </w:r>
      <w:r w:rsidR="00FD20D3" w:rsidRPr="00F049EC">
        <w:rPr>
          <w:rFonts w:ascii="Palatino Linotype" w:hAnsi="Palatino Linotype"/>
          <w:bCs/>
        </w:rPr>
        <w:t>people</w:t>
      </w:r>
      <w:r w:rsidR="00FD20D3">
        <w:rPr>
          <w:rFonts w:ascii="Palatino Linotype" w:hAnsi="Palatino Linotype"/>
          <w:bCs/>
        </w:rPr>
        <w:t>.</w:t>
      </w:r>
      <w:r w:rsidR="00AF477D">
        <w:rPr>
          <w:rStyle w:val="FootnoteReference"/>
          <w:rFonts w:ascii="Palatino Linotype" w:hAnsi="Palatino Linotype"/>
          <w:bCs/>
        </w:rPr>
        <w:footnoteReference w:id="20"/>
      </w:r>
      <w:r w:rsidR="00B43FF8">
        <w:rPr>
          <w:rFonts w:ascii="Palatino Linotype" w:hAnsi="Palatino Linotype"/>
          <w:bCs/>
        </w:rPr>
        <w:t xml:space="preserve"> </w:t>
      </w:r>
      <w:r w:rsidR="00B43FF8">
        <w:rPr>
          <w:rFonts w:ascii="Palatino Linotype" w:hAnsi="Palatino Linotype" w:cs="Times New Roman"/>
          <w:color w:val="222222"/>
          <w:shd w:val="clear" w:color="auto" w:fill="FFFFFF"/>
        </w:rPr>
        <w:t>To do so</w:t>
      </w:r>
      <w:r w:rsidR="00726991">
        <w:rPr>
          <w:rFonts w:ascii="Palatino Linotype" w:hAnsi="Palatino Linotype" w:cs="Times New Roman"/>
          <w:color w:val="222222"/>
          <w:shd w:val="clear" w:color="auto" w:fill="FFFFFF"/>
        </w:rPr>
        <w:t xml:space="preserve"> </w:t>
      </w:r>
      <w:r w:rsidR="00B43FF8">
        <w:rPr>
          <w:rFonts w:ascii="Palatino Linotype" w:hAnsi="Palatino Linotype" w:cs="Times New Roman"/>
          <w:color w:val="222222"/>
          <w:shd w:val="clear" w:color="auto" w:fill="FFFFFF"/>
        </w:rPr>
        <w:t>will take a new</w:t>
      </w:r>
      <w:r w:rsidR="00CF52EE">
        <w:rPr>
          <w:rFonts w:ascii="Palatino Linotype" w:hAnsi="Palatino Linotype" w:cs="Times New Roman"/>
          <w:color w:val="222222"/>
          <w:shd w:val="clear" w:color="auto" w:fill="FFFFFF"/>
        </w:rPr>
        <w:t>, more purposeful and focused</w:t>
      </w:r>
      <w:r w:rsidR="00B43FF8">
        <w:rPr>
          <w:rFonts w:ascii="Palatino Linotype" w:hAnsi="Palatino Linotype" w:cs="Times New Roman"/>
          <w:color w:val="222222"/>
          <w:shd w:val="clear" w:color="auto" w:fill="FFFFFF"/>
        </w:rPr>
        <w:t xml:space="preserve"> way of thinking about the city’s development from that of recent decades.</w:t>
      </w:r>
    </w:p>
    <w:p w:rsidR="00FD20D3" w:rsidRDefault="00FD20D3" w:rsidP="001171C3">
      <w:pPr>
        <w:spacing w:after="120" w:line="360" w:lineRule="auto"/>
        <w:rPr>
          <w:rFonts w:ascii="Palatino Linotype" w:hAnsi="Palatino Linotype"/>
        </w:rPr>
      </w:pPr>
      <w:r w:rsidRPr="00951ABC">
        <w:rPr>
          <w:rFonts w:ascii="Palatino Linotype" w:hAnsi="Palatino Linotype"/>
        </w:rPr>
        <w:t xml:space="preserve">Recognizing that not </w:t>
      </w:r>
      <w:r>
        <w:rPr>
          <w:rFonts w:ascii="Palatino Linotype" w:hAnsi="Palatino Linotype"/>
        </w:rPr>
        <w:t>every new resident can live on the East End, new neighborhood centers must</w:t>
      </w:r>
      <w:r w:rsidRPr="00951ABC">
        <w:rPr>
          <w:rFonts w:ascii="Palatino Linotype" w:hAnsi="Palatino Linotype"/>
        </w:rPr>
        <w:t xml:space="preserve"> be developed</w:t>
      </w:r>
      <w:r>
        <w:rPr>
          <w:rFonts w:ascii="Palatino Linotype" w:hAnsi="Palatino Linotype"/>
        </w:rPr>
        <w:t xml:space="preserve"> throughout Portland, each</w:t>
      </w:r>
      <w:r w:rsidRPr="00951ABC">
        <w:rPr>
          <w:rFonts w:ascii="Palatino Linotype" w:hAnsi="Palatino Linotype"/>
        </w:rPr>
        <w:t xml:space="preserve"> with </w:t>
      </w:r>
      <w:r>
        <w:rPr>
          <w:rFonts w:ascii="Palatino Linotype" w:hAnsi="Palatino Linotype"/>
        </w:rPr>
        <w:t>its</w:t>
      </w:r>
      <w:r w:rsidRPr="00951ABC">
        <w:rPr>
          <w:rFonts w:ascii="Palatino Linotype" w:hAnsi="Palatino Linotype"/>
        </w:rPr>
        <w:t xml:space="preserve"> own character</w:t>
      </w:r>
      <w:r>
        <w:rPr>
          <w:rFonts w:ascii="Palatino Linotype" w:hAnsi="Palatino Linotype"/>
        </w:rPr>
        <w:t>,</w:t>
      </w:r>
      <w:r w:rsidRPr="00951ABC">
        <w:rPr>
          <w:rFonts w:ascii="Palatino Linotype" w:hAnsi="Palatino Linotype"/>
        </w:rPr>
        <w:t xml:space="preserve"> to accommoda</w:t>
      </w:r>
      <w:r>
        <w:rPr>
          <w:rFonts w:ascii="Palatino Linotype" w:hAnsi="Palatino Linotype"/>
        </w:rPr>
        <w:t>te more residents.  India</w:t>
      </w:r>
      <w:r w:rsidRPr="00951ABC">
        <w:rPr>
          <w:rFonts w:ascii="Palatino Linotype" w:hAnsi="Palatino Linotype"/>
        </w:rPr>
        <w:t xml:space="preserve">, </w:t>
      </w:r>
      <w:r>
        <w:rPr>
          <w:rFonts w:ascii="Palatino Linotype" w:hAnsi="Palatino Linotype"/>
        </w:rPr>
        <w:t>Franklin, and Spring streets,</w:t>
      </w:r>
      <w:r w:rsidRPr="00951ABC">
        <w:rPr>
          <w:rFonts w:ascii="Palatino Linotype" w:hAnsi="Palatino Linotype"/>
        </w:rPr>
        <w:t xml:space="preserve"> </w:t>
      </w:r>
      <w:r w:rsidR="0089571C">
        <w:rPr>
          <w:rFonts w:ascii="Palatino Linotype" w:hAnsi="Palatino Linotype"/>
        </w:rPr>
        <w:t xml:space="preserve">the </w:t>
      </w:r>
      <w:r>
        <w:rPr>
          <w:rFonts w:ascii="Palatino Linotype" w:hAnsi="Palatino Linotype"/>
        </w:rPr>
        <w:t>Marginal Way, and Forest and Washington avenues</w:t>
      </w:r>
      <w:r w:rsidRPr="00951ABC">
        <w:rPr>
          <w:rFonts w:ascii="Palatino Linotype" w:hAnsi="Palatino Linotype"/>
        </w:rPr>
        <w:t xml:space="preserve">, </w:t>
      </w:r>
      <w:r>
        <w:rPr>
          <w:rFonts w:ascii="Palatino Linotype" w:hAnsi="Palatino Linotype"/>
        </w:rPr>
        <w:t xml:space="preserve">some even now in transition, present great potential for </w:t>
      </w:r>
      <w:r w:rsidR="0089571C">
        <w:rPr>
          <w:rFonts w:ascii="Palatino Linotype" w:hAnsi="Palatino Linotype"/>
        </w:rPr>
        <w:t xml:space="preserve">housing, commerce, and </w:t>
      </w:r>
      <w:r>
        <w:rPr>
          <w:rFonts w:ascii="Palatino Linotype" w:hAnsi="Palatino Linotype"/>
        </w:rPr>
        <w:t>transformed</w:t>
      </w:r>
      <w:r w:rsidRPr="00951ABC">
        <w:rPr>
          <w:rFonts w:ascii="Palatino Linotype" w:hAnsi="Palatino Linotype"/>
        </w:rPr>
        <w:t xml:space="preserve"> </w:t>
      </w:r>
      <w:r>
        <w:rPr>
          <w:rFonts w:ascii="Palatino Linotype" w:hAnsi="Palatino Linotype"/>
        </w:rPr>
        <w:t xml:space="preserve">neighborhood </w:t>
      </w:r>
      <w:r w:rsidR="0089571C">
        <w:rPr>
          <w:rFonts w:ascii="Palatino Linotype" w:hAnsi="Palatino Linotype"/>
        </w:rPr>
        <w:t>centers serviced by improved</w:t>
      </w:r>
      <w:r>
        <w:rPr>
          <w:rFonts w:ascii="Palatino Linotype" w:hAnsi="Palatino Linotype"/>
        </w:rPr>
        <w:t xml:space="preserve"> public transit</w:t>
      </w:r>
      <w:r w:rsidRPr="00951ABC">
        <w:rPr>
          <w:rFonts w:ascii="Palatino Linotype" w:hAnsi="Palatino Linotype"/>
        </w:rPr>
        <w:t xml:space="preserve">.  </w:t>
      </w:r>
    </w:p>
    <w:p w:rsidR="00FD20D3" w:rsidRDefault="0089571C" w:rsidP="001171C3">
      <w:pPr>
        <w:spacing w:after="120" w:line="360" w:lineRule="auto"/>
        <w:rPr>
          <w:rFonts w:ascii="Palatino Linotype" w:hAnsi="Palatino Linotype"/>
        </w:rPr>
      </w:pPr>
      <w:r>
        <w:rPr>
          <w:rFonts w:ascii="Palatino Linotype" w:hAnsi="Palatino Linotype"/>
        </w:rPr>
        <w:t xml:space="preserve">Think of each of </w:t>
      </w:r>
      <w:r w:rsidR="00FD20D3">
        <w:rPr>
          <w:rFonts w:ascii="Palatino Linotype" w:hAnsi="Palatino Linotype"/>
        </w:rPr>
        <w:t>these</w:t>
      </w:r>
      <w:r>
        <w:rPr>
          <w:rFonts w:ascii="Palatino Linotype" w:hAnsi="Palatino Linotype"/>
        </w:rPr>
        <w:t xml:space="preserve"> streets</w:t>
      </w:r>
      <w:r w:rsidR="00FD20D3">
        <w:rPr>
          <w:rFonts w:ascii="Palatino Linotype" w:hAnsi="Palatino Linotype"/>
        </w:rPr>
        <w:t>, if you will, as a tree-lined boulevard with 5 to 6 story buildings on either side, with housing above street-level commercial establishments and, quite possibly, trolleys running to and fro</w:t>
      </w:r>
      <w:r>
        <w:rPr>
          <w:rFonts w:ascii="Palatino Linotype" w:hAnsi="Palatino Linotype"/>
        </w:rPr>
        <w:t>m</w:t>
      </w:r>
      <w:r w:rsidR="00FD20D3">
        <w:rPr>
          <w:rFonts w:ascii="Palatino Linotype" w:hAnsi="Palatino Linotype"/>
        </w:rPr>
        <w:t xml:space="preserve"> the peninsula. Similarly, I-</w:t>
      </w:r>
      <w:r w:rsidR="00FD20D3" w:rsidRPr="00951ABC">
        <w:rPr>
          <w:rFonts w:ascii="Palatino Linotype" w:hAnsi="Palatino Linotype"/>
        </w:rPr>
        <w:t>295</w:t>
      </w:r>
      <w:r w:rsidR="00FD20D3">
        <w:rPr>
          <w:rFonts w:ascii="Palatino Linotype" w:hAnsi="Palatino Linotype"/>
        </w:rPr>
        <w:t xml:space="preserve"> between Congress</w:t>
      </w:r>
      <w:r>
        <w:rPr>
          <w:rFonts w:ascii="Palatino Linotype" w:hAnsi="Palatino Linotype"/>
        </w:rPr>
        <w:t xml:space="preserve"> St. and Washington Ave.</w:t>
      </w:r>
      <w:r w:rsidR="00FD20D3" w:rsidRPr="00951ABC">
        <w:rPr>
          <w:rFonts w:ascii="Palatino Linotype" w:hAnsi="Palatino Linotype"/>
        </w:rPr>
        <w:t xml:space="preserve"> has created a physical and psychological barrier that will require imaginative </w:t>
      </w:r>
      <w:r>
        <w:rPr>
          <w:rFonts w:ascii="Palatino Linotype" w:hAnsi="Palatino Linotype"/>
        </w:rPr>
        <w:t>re-</w:t>
      </w:r>
      <w:r w:rsidR="00FD20D3">
        <w:rPr>
          <w:rFonts w:ascii="Palatino Linotype" w:hAnsi="Palatino Linotype"/>
        </w:rPr>
        <w:t>design to</w:t>
      </w:r>
      <w:r>
        <w:rPr>
          <w:rFonts w:ascii="Palatino Linotype" w:hAnsi="Palatino Linotype"/>
        </w:rPr>
        <w:t xml:space="preserve"> restore the </w:t>
      </w:r>
      <w:r w:rsidR="008C2A3A">
        <w:rPr>
          <w:rFonts w:ascii="Palatino Linotype" w:hAnsi="Palatino Linotype"/>
        </w:rPr>
        <w:t xml:space="preserve">East Deering neighborhood and </w:t>
      </w:r>
      <w:r>
        <w:rPr>
          <w:rFonts w:ascii="Palatino Linotype" w:hAnsi="Palatino Linotype"/>
        </w:rPr>
        <w:t>re</w:t>
      </w:r>
      <w:r w:rsidR="00FD20D3">
        <w:rPr>
          <w:rFonts w:ascii="Palatino Linotype" w:hAnsi="Palatino Linotype"/>
        </w:rPr>
        <w:t>connect the peninsula</w:t>
      </w:r>
      <w:r w:rsidR="00FD20D3" w:rsidRPr="00951ABC">
        <w:rPr>
          <w:rFonts w:ascii="Palatino Linotype" w:hAnsi="Palatino Linotype"/>
        </w:rPr>
        <w:t xml:space="preserve"> to</w:t>
      </w:r>
      <w:r w:rsidR="00FD20D3">
        <w:rPr>
          <w:rFonts w:ascii="Palatino Linotype" w:hAnsi="Palatino Linotype"/>
        </w:rPr>
        <w:t xml:space="preserve"> outer Forest Avenue, the public university, and private businesses now compromised by</w:t>
      </w:r>
      <w:r w:rsidR="00FD20D3" w:rsidRPr="00951ABC">
        <w:rPr>
          <w:rFonts w:ascii="Palatino Linotype" w:hAnsi="Palatino Linotype"/>
        </w:rPr>
        <w:t xml:space="preserve"> the </w:t>
      </w:r>
      <w:r w:rsidR="00FD20D3">
        <w:rPr>
          <w:rFonts w:ascii="Palatino Linotype" w:hAnsi="Palatino Linotype"/>
        </w:rPr>
        <w:t xml:space="preserve">massive </w:t>
      </w:r>
      <w:r w:rsidR="00FD20D3" w:rsidRPr="00951ABC">
        <w:rPr>
          <w:rFonts w:ascii="Palatino Linotype" w:hAnsi="Palatino Linotype"/>
        </w:rPr>
        <w:t>highway.</w:t>
      </w:r>
      <w:r w:rsidR="00FD20D3">
        <w:rPr>
          <w:rStyle w:val="FootnoteReference"/>
          <w:rFonts w:ascii="Palatino Linotype" w:hAnsi="Palatino Linotype"/>
        </w:rPr>
        <w:footnoteReference w:id="21"/>
      </w:r>
    </w:p>
    <w:p w:rsidR="00FD20D3" w:rsidRDefault="00FD20D3" w:rsidP="001171C3">
      <w:pPr>
        <w:spacing w:after="120" w:line="360" w:lineRule="auto"/>
        <w:rPr>
          <w:rFonts w:ascii="Palatino Linotype" w:eastAsia="Times New Roman" w:hAnsi="Palatino Linotype" w:cs="Times New Roman"/>
        </w:rPr>
      </w:pPr>
      <w:r>
        <w:rPr>
          <w:rFonts w:ascii="Palatino Linotype" w:eastAsia="Times New Roman" w:hAnsi="Palatino Linotype" w:cs="Times New Roman"/>
        </w:rPr>
        <w:t>B</w:t>
      </w:r>
      <w:r w:rsidRPr="00121F27">
        <w:rPr>
          <w:rFonts w:ascii="Palatino Linotype" w:eastAsia="Times New Roman" w:hAnsi="Palatino Linotype" w:cs="Times New Roman"/>
        </w:rPr>
        <w:t>uilt in the 1960s</w:t>
      </w:r>
      <w:r>
        <w:rPr>
          <w:rFonts w:ascii="Palatino Linotype" w:eastAsia="Times New Roman" w:hAnsi="Palatino Linotype" w:cs="Times New Roman"/>
        </w:rPr>
        <w:t xml:space="preserve"> to accommodate car</w:t>
      </w:r>
      <w:r w:rsidRPr="00121F27">
        <w:rPr>
          <w:rFonts w:ascii="Palatino Linotype" w:eastAsia="Times New Roman" w:hAnsi="Palatino Linotype" w:cs="Times New Roman"/>
        </w:rPr>
        <w:t xml:space="preserve"> and truck access to the Bay Bridge,</w:t>
      </w:r>
      <w:r>
        <w:rPr>
          <w:rFonts w:ascii="Palatino Linotype" w:eastAsia="Times New Roman" w:hAnsi="Palatino Linotype" w:cs="Times New Roman"/>
        </w:rPr>
        <w:t xml:space="preserve"> </w:t>
      </w:r>
      <w:r w:rsidRPr="00121F27">
        <w:rPr>
          <w:rFonts w:ascii="Palatino Linotype" w:eastAsia="Times New Roman" w:hAnsi="Palatino Linotype" w:cs="Times New Roman"/>
        </w:rPr>
        <w:t xml:space="preserve">San Francisco’s Embarcadero Freeway </w:t>
      </w:r>
      <w:r>
        <w:rPr>
          <w:rFonts w:ascii="Palatino Linotype" w:eastAsia="Times New Roman" w:hAnsi="Palatino Linotype" w:cs="Times New Roman"/>
        </w:rPr>
        <w:t>divided</w:t>
      </w:r>
      <w:r w:rsidRPr="00121F27">
        <w:rPr>
          <w:rFonts w:ascii="Palatino Linotype" w:eastAsia="Times New Roman" w:hAnsi="Palatino Linotype" w:cs="Times New Roman"/>
        </w:rPr>
        <w:t xml:space="preserve"> the waterfront from the downtown for three decades. It was torn down in the ‘90s a</w:t>
      </w:r>
      <w:r w:rsidR="0089571C">
        <w:rPr>
          <w:rFonts w:ascii="Palatino Linotype" w:eastAsia="Times New Roman" w:hAnsi="Palatino Linotype" w:cs="Times New Roman"/>
        </w:rPr>
        <w:t>fter the Loma Prieta earthquake</w:t>
      </w:r>
      <w:r w:rsidR="00CF52EE">
        <w:rPr>
          <w:rFonts w:ascii="Palatino Linotype" w:eastAsia="Times New Roman" w:hAnsi="Palatino Linotype" w:cs="Times New Roman"/>
        </w:rPr>
        <w:t>,</w:t>
      </w:r>
      <w:r w:rsidRPr="00121F27">
        <w:rPr>
          <w:rFonts w:ascii="Palatino Linotype" w:eastAsia="Times New Roman" w:hAnsi="Palatino Linotype" w:cs="Times New Roman"/>
        </w:rPr>
        <w:t xml:space="preserve"> and </w:t>
      </w:r>
      <w:r w:rsidRPr="00963783">
        <w:rPr>
          <w:rFonts w:ascii="Palatino Linotype" w:eastAsia="Times New Roman" w:hAnsi="Palatino Linotype" w:cs="Times New Roman"/>
        </w:rPr>
        <w:t>re</w:t>
      </w:r>
      <w:r>
        <w:rPr>
          <w:rFonts w:ascii="Palatino Linotype" w:eastAsia="Times New Roman" w:hAnsi="Palatino Linotype" w:cs="Times New Roman"/>
        </w:rPr>
        <w:t>-</w:t>
      </w:r>
      <w:r w:rsidRPr="00963783">
        <w:rPr>
          <w:rFonts w:ascii="Palatino Linotype" w:eastAsia="Times New Roman" w:hAnsi="Palatino Linotype" w:cs="Times New Roman"/>
        </w:rPr>
        <w:t>develop</w:t>
      </w:r>
      <w:r>
        <w:rPr>
          <w:rFonts w:ascii="Palatino Linotype" w:eastAsia="Times New Roman" w:hAnsi="Palatino Linotype" w:cs="Times New Roman"/>
        </w:rPr>
        <w:t>ment commenced</w:t>
      </w:r>
      <w:r w:rsidRPr="00121F27">
        <w:rPr>
          <w:rFonts w:ascii="Palatino Linotype" w:eastAsia="Times New Roman" w:hAnsi="Palatino Linotype" w:cs="Times New Roman"/>
        </w:rPr>
        <w:t xml:space="preserve"> </w:t>
      </w:r>
      <w:r w:rsidR="0089571C">
        <w:rPr>
          <w:rFonts w:ascii="Palatino Linotype" w:eastAsia="Times New Roman" w:hAnsi="Palatino Linotype" w:cs="Times New Roman"/>
        </w:rPr>
        <w:t>as a grand boulevard was built</w:t>
      </w:r>
      <w:r w:rsidRPr="00121F27">
        <w:rPr>
          <w:rFonts w:ascii="Palatino Linotype" w:eastAsia="Times New Roman" w:hAnsi="Palatino Linotype" w:cs="Times New Roman"/>
        </w:rPr>
        <w:t xml:space="preserve"> and </w:t>
      </w:r>
      <w:r w:rsidRPr="00963783">
        <w:rPr>
          <w:rFonts w:ascii="Palatino Linotype" w:eastAsia="Times New Roman" w:hAnsi="Palatino Linotype" w:cs="Times New Roman"/>
        </w:rPr>
        <w:t>squares</w:t>
      </w:r>
      <w:r w:rsidRPr="00121F27">
        <w:rPr>
          <w:rFonts w:ascii="Palatino Linotype" w:eastAsia="Times New Roman" w:hAnsi="Palatino Linotype" w:cs="Times New Roman"/>
        </w:rPr>
        <w:t xml:space="preserve"> and plazas were restored. </w:t>
      </w:r>
      <w:r>
        <w:rPr>
          <w:rFonts w:ascii="Palatino Linotype" w:eastAsia="Times New Roman" w:hAnsi="Palatino Linotype" w:cs="Times New Roman"/>
        </w:rPr>
        <w:t>Boston’s Rose Kennedy Greenway along the site of the late, unlamented Central Artery has transforme</w:t>
      </w:r>
      <w:r w:rsidR="00CF52EE">
        <w:rPr>
          <w:rFonts w:ascii="Palatino Linotype" w:eastAsia="Times New Roman" w:hAnsi="Palatino Linotype" w:cs="Times New Roman"/>
        </w:rPr>
        <w:t>d the city’s relationship to the</w:t>
      </w:r>
      <w:r>
        <w:rPr>
          <w:rFonts w:ascii="Palatino Linotype" w:eastAsia="Times New Roman" w:hAnsi="Palatino Linotype" w:cs="Times New Roman"/>
        </w:rPr>
        <w:t xml:space="preserve"> North End and </w:t>
      </w:r>
      <w:r w:rsidR="00FC14DE">
        <w:rPr>
          <w:rFonts w:ascii="Palatino Linotype" w:eastAsia="Times New Roman" w:hAnsi="Palatino Linotype" w:cs="Times New Roman"/>
        </w:rPr>
        <w:t xml:space="preserve">a </w:t>
      </w:r>
      <w:r>
        <w:rPr>
          <w:rFonts w:ascii="Palatino Linotype" w:eastAsia="Times New Roman" w:hAnsi="Palatino Linotype" w:cs="Times New Roman"/>
        </w:rPr>
        <w:t xml:space="preserve">cleaned-up Boston Harbor.  In Dallas, </w:t>
      </w:r>
      <w:r w:rsidRPr="00121F27">
        <w:rPr>
          <w:rFonts w:ascii="Palatino Linotype" w:eastAsia="Times New Roman" w:hAnsi="Palatino Linotype" w:cs="Times New Roman"/>
        </w:rPr>
        <w:t>a movement is afoot to tear down I-345 and replace</w:t>
      </w:r>
      <w:r>
        <w:rPr>
          <w:rFonts w:ascii="Palatino Linotype" w:eastAsia="Times New Roman" w:hAnsi="Palatino Linotype" w:cs="Times New Roman"/>
        </w:rPr>
        <w:t xml:space="preserve"> it with a boulevard, commerce</w:t>
      </w:r>
      <w:r w:rsidRPr="00121F27">
        <w:rPr>
          <w:rFonts w:ascii="Palatino Linotype" w:eastAsia="Times New Roman" w:hAnsi="Palatino Linotype" w:cs="Times New Roman"/>
        </w:rPr>
        <w:t xml:space="preserve">, and housing. </w:t>
      </w:r>
      <w:r>
        <w:rPr>
          <w:rFonts w:ascii="Palatino Linotype" w:eastAsia="Times New Roman" w:hAnsi="Palatino Linotype" w:cs="Times New Roman"/>
        </w:rPr>
        <w:t xml:space="preserve">Dallas now also </w:t>
      </w:r>
      <w:r w:rsidRPr="00121F27">
        <w:rPr>
          <w:rFonts w:ascii="Palatino Linotype" w:eastAsia="Times New Roman" w:hAnsi="Palatino Linotype" w:cs="Times New Roman"/>
        </w:rPr>
        <w:t>boasts a small streetcar system downtown</w:t>
      </w:r>
      <w:r>
        <w:rPr>
          <w:rFonts w:ascii="Palatino Linotype" w:eastAsia="Times New Roman" w:hAnsi="Palatino Linotype" w:cs="Times New Roman"/>
        </w:rPr>
        <w:t>.</w:t>
      </w:r>
      <w:r w:rsidRPr="00121F27">
        <w:rPr>
          <w:rFonts w:ascii="Palatino Linotype" w:eastAsia="Times New Roman" w:hAnsi="Palatino Linotype" w:cs="Times New Roman"/>
        </w:rPr>
        <w:t xml:space="preserve"> </w:t>
      </w:r>
    </w:p>
    <w:p w:rsidR="006C6164" w:rsidRPr="00B03664" w:rsidRDefault="006C6164" w:rsidP="006C6164">
      <w:pPr>
        <w:spacing w:after="120" w:line="360" w:lineRule="auto"/>
        <w:rPr>
          <w:rFonts w:ascii="Palatino Linotype" w:hAnsi="Palatino Linotype"/>
        </w:rPr>
      </w:pPr>
      <w:r w:rsidRPr="00B03664">
        <w:rPr>
          <w:rFonts w:ascii="Palatino Linotype" w:hAnsi="Palatino Linotype"/>
        </w:rPr>
        <w:lastRenderedPageBreak/>
        <w:t>In Milwauke</w:t>
      </w:r>
      <w:r>
        <w:rPr>
          <w:rFonts w:ascii="Palatino Linotype" w:hAnsi="Palatino Linotype"/>
        </w:rPr>
        <w:t>e the Park East Freeway</w:t>
      </w:r>
      <w:r w:rsidRPr="00B03664">
        <w:t xml:space="preserve"> </w:t>
      </w:r>
      <w:r w:rsidRPr="00B03664">
        <w:rPr>
          <w:rFonts w:ascii="Palatino Linotype" w:hAnsi="Palatino Linotype"/>
        </w:rPr>
        <w:t xml:space="preserve">was demolished </w:t>
      </w:r>
      <w:r>
        <w:rPr>
          <w:rFonts w:ascii="Palatino Linotype" w:hAnsi="Palatino Linotype"/>
        </w:rPr>
        <w:t>beginning in 2002, and most of it replaced by the</w:t>
      </w:r>
      <w:r w:rsidRPr="00B03664">
        <w:rPr>
          <w:rFonts w:ascii="Palatino Linotype" w:hAnsi="Palatino Linotype"/>
        </w:rPr>
        <w:t xml:space="preserve"> at-grade West McKinley Avenue and East Knapp Street</w:t>
      </w:r>
      <w:r w:rsidR="00CF52EE">
        <w:rPr>
          <w:rFonts w:ascii="Palatino Linotype" w:hAnsi="Palatino Linotype"/>
        </w:rPr>
        <w:t>,</w:t>
      </w:r>
      <w:r w:rsidRPr="00B03664">
        <w:rPr>
          <w:rFonts w:ascii="Palatino Linotype" w:hAnsi="Palatino Linotype"/>
        </w:rPr>
        <w:t xml:space="preserve"> and a new </w:t>
      </w:r>
      <w:hyperlink r:id="rId15" w:tooltip="Drawbridge" w:history="1">
        <w:r w:rsidRPr="00B03664">
          <w:rPr>
            <w:rStyle w:val="Hyperlink"/>
            <w:rFonts w:ascii="Palatino Linotype" w:hAnsi="Palatino Linotype"/>
            <w:color w:val="auto"/>
            <w:u w:val="none"/>
          </w:rPr>
          <w:t>drawbridge</w:t>
        </w:r>
      </w:hyperlink>
      <w:r w:rsidRPr="00B03664">
        <w:rPr>
          <w:rFonts w:ascii="Palatino Linotype" w:hAnsi="Palatino Linotype"/>
        </w:rPr>
        <w:t xml:space="preserve"> over the </w:t>
      </w:r>
      <w:hyperlink r:id="rId16" w:tooltip="Milwaukee River" w:history="1">
        <w:r w:rsidRPr="00B03664">
          <w:rPr>
            <w:rStyle w:val="Hyperlink"/>
            <w:rFonts w:ascii="Palatino Linotype" w:hAnsi="Palatino Linotype"/>
            <w:color w:val="auto"/>
            <w:u w:val="none"/>
          </w:rPr>
          <w:t>Milwaukee River</w:t>
        </w:r>
      </w:hyperlink>
      <w:r w:rsidRPr="00B03664">
        <w:rPr>
          <w:rFonts w:ascii="Palatino Linotype" w:hAnsi="Palatino Linotype"/>
        </w:rPr>
        <w:t>.</w:t>
      </w:r>
      <w:r>
        <w:rPr>
          <w:rFonts w:ascii="Palatino Linotype" w:hAnsi="Palatino Linotype"/>
        </w:rPr>
        <w:t xml:space="preserve"> F</w:t>
      </w:r>
      <w:r w:rsidR="008132CF">
        <w:rPr>
          <w:rFonts w:ascii="Palatino Linotype" w:hAnsi="Palatino Linotype"/>
        </w:rPr>
        <w:t xml:space="preserve">or </w:t>
      </w:r>
      <w:r w:rsidRPr="00B03664">
        <w:rPr>
          <w:rFonts w:ascii="Palatino Linotype" w:hAnsi="Palatino Linotype"/>
        </w:rPr>
        <w:t xml:space="preserve">50 years </w:t>
      </w:r>
      <w:r>
        <w:rPr>
          <w:rFonts w:ascii="Palatino Linotype" w:hAnsi="Palatino Linotype"/>
        </w:rPr>
        <w:t>the</w:t>
      </w:r>
      <w:r w:rsidRPr="00B03664">
        <w:rPr>
          <w:rFonts w:ascii="Palatino Linotype" w:hAnsi="Palatino Linotype"/>
        </w:rPr>
        <w:t xml:space="preserve"> Rte. 6-10 Connector </w:t>
      </w:r>
      <w:r>
        <w:rPr>
          <w:rFonts w:ascii="Palatino Linotype" w:hAnsi="Palatino Linotype"/>
        </w:rPr>
        <w:t>in Providence has allowed</w:t>
      </w:r>
      <w:r w:rsidRPr="00B03664">
        <w:rPr>
          <w:rFonts w:ascii="Palatino Linotype" w:hAnsi="Palatino Linotype"/>
        </w:rPr>
        <w:t xml:space="preserve"> suburban commuters high-speed access to the city and I-95</w:t>
      </w:r>
      <w:r>
        <w:rPr>
          <w:rFonts w:ascii="Palatino Linotype" w:hAnsi="Palatino Linotype"/>
        </w:rPr>
        <w:t>, and effectively isolated</w:t>
      </w:r>
      <w:r w:rsidRPr="00B03664">
        <w:rPr>
          <w:rFonts w:ascii="Palatino Linotype" w:hAnsi="Palatino Linotype"/>
        </w:rPr>
        <w:t xml:space="preserve"> </w:t>
      </w:r>
      <w:r>
        <w:rPr>
          <w:rFonts w:ascii="Palatino Linotype" w:hAnsi="Palatino Linotype"/>
        </w:rPr>
        <w:t xml:space="preserve">the </w:t>
      </w:r>
      <w:r w:rsidRPr="00B03664">
        <w:rPr>
          <w:rFonts w:ascii="Palatino Linotype" w:hAnsi="Palatino Linotype"/>
        </w:rPr>
        <w:t>Federal Hill</w:t>
      </w:r>
      <w:r>
        <w:rPr>
          <w:rFonts w:ascii="Palatino Linotype" w:hAnsi="Palatino Linotype"/>
        </w:rPr>
        <w:t xml:space="preserve"> and </w:t>
      </w:r>
      <w:r w:rsidRPr="00B03664">
        <w:rPr>
          <w:rFonts w:ascii="Palatino Linotype" w:hAnsi="Palatino Linotype"/>
        </w:rPr>
        <w:t>West End</w:t>
      </w:r>
      <w:r>
        <w:rPr>
          <w:rFonts w:ascii="Palatino Linotype" w:hAnsi="Palatino Linotype"/>
        </w:rPr>
        <w:t xml:space="preserve"> sections from their</w:t>
      </w:r>
      <w:r w:rsidRPr="00B03664">
        <w:rPr>
          <w:rFonts w:ascii="Palatino Linotype" w:hAnsi="Palatino Linotype"/>
        </w:rPr>
        <w:t xml:space="preserve"> neighbors</w:t>
      </w:r>
      <w:r w:rsidR="008132CF">
        <w:rPr>
          <w:rFonts w:ascii="Palatino Linotype" w:hAnsi="Palatino Linotype"/>
        </w:rPr>
        <w:t>. The</w:t>
      </w:r>
      <w:r w:rsidR="003E04F3">
        <w:rPr>
          <w:rFonts w:ascii="Palatino Linotype" w:hAnsi="Palatino Linotype"/>
        </w:rPr>
        <w:t xml:space="preserve"> </w:t>
      </w:r>
      <w:r>
        <w:rPr>
          <w:rFonts w:ascii="Palatino Linotype" w:hAnsi="Palatino Linotype"/>
        </w:rPr>
        <w:t>6-10</w:t>
      </w:r>
      <w:r w:rsidR="008132CF">
        <w:rPr>
          <w:rFonts w:ascii="Palatino Linotype" w:hAnsi="Palatino Linotype"/>
        </w:rPr>
        <w:t xml:space="preserve"> Connector</w:t>
      </w:r>
      <w:r w:rsidRPr="00B03664">
        <w:rPr>
          <w:rFonts w:ascii="Palatino Linotype" w:hAnsi="Palatino Linotype"/>
        </w:rPr>
        <w:t xml:space="preserve"> is now under </w:t>
      </w:r>
      <w:r w:rsidR="00CF52EE">
        <w:rPr>
          <w:rFonts w:ascii="Palatino Linotype" w:hAnsi="Palatino Linotype"/>
        </w:rPr>
        <w:t xml:space="preserve">intense </w:t>
      </w:r>
      <w:r w:rsidRPr="00B03664">
        <w:rPr>
          <w:rFonts w:ascii="Palatino Linotype" w:hAnsi="Palatino Linotype"/>
        </w:rPr>
        <w:t xml:space="preserve">consideration by the governor, RIDOT, and local officials and citizens for replacement by either </w:t>
      </w:r>
      <w:r w:rsidR="00FC14DE">
        <w:rPr>
          <w:rFonts w:ascii="Palatino Linotype" w:hAnsi="Palatino Linotype"/>
        </w:rPr>
        <w:t>a “capped” roadway like the Boston</w:t>
      </w:r>
      <w:r w:rsidRPr="00B03664">
        <w:rPr>
          <w:rFonts w:ascii="Palatino Linotype" w:hAnsi="Palatino Linotype"/>
        </w:rPr>
        <w:t xml:space="preserve"> “Big Dig,” or a boulevard that would accommodate cars, pedestri</w:t>
      </w:r>
      <w:r>
        <w:rPr>
          <w:rFonts w:ascii="Palatino Linotype" w:hAnsi="Palatino Linotype"/>
        </w:rPr>
        <w:t>ans, cy</w:t>
      </w:r>
      <w:r w:rsidR="008132CF">
        <w:rPr>
          <w:rFonts w:ascii="Palatino Linotype" w:hAnsi="Palatino Linotype"/>
        </w:rPr>
        <w:t xml:space="preserve">clists and transit users at </w:t>
      </w:r>
      <w:r>
        <w:rPr>
          <w:rFonts w:ascii="Palatino Linotype" w:hAnsi="Palatino Linotype"/>
        </w:rPr>
        <w:t xml:space="preserve">less expense. </w:t>
      </w:r>
    </w:p>
    <w:p w:rsidR="00266244" w:rsidRDefault="00266244" w:rsidP="001171C3">
      <w:pPr>
        <w:spacing w:after="120" w:line="360" w:lineRule="auto"/>
        <w:rPr>
          <w:rFonts w:ascii="Palatino Linotype" w:hAnsi="Palatino Linotype" w:cs="Times New Roman"/>
          <w:color w:val="222222"/>
          <w:shd w:val="clear" w:color="auto" w:fill="FFFFFF"/>
        </w:rPr>
      </w:pPr>
      <w:r w:rsidRPr="00266244">
        <w:rPr>
          <w:rFonts w:ascii="Palatino Linotype" w:hAnsi="Palatino Linotype"/>
        </w:rPr>
        <w:t>A rare area of agreement</w:t>
      </w:r>
      <w:r>
        <w:rPr>
          <w:rFonts w:ascii="Palatino Linotype" w:hAnsi="Palatino Linotype"/>
        </w:rPr>
        <w:t xml:space="preserve"> exists today</w:t>
      </w:r>
      <w:r w:rsidRPr="00266244">
        <w:rPr>
          <w:rFonts w:ascii="Palatino Linotype" w:hAnsi="Palatino Linotype"/>
        </w:rPr>
        <w:t xml:space="preserve"> between presidential candidates Hil</w:t>
      </w:r>
      <w:r>
        <w:rPr>
          <w:rFonts w:ascii="Palatino Linotype" w:hAnsi="Palatino Linotype"/>
        </w:rPr>
        <w:t>lary Clinton and Donald Trump</w:t>
      </w:r>
      <w:r w:rsidRPr="00266244">
        <w:rPr>
          <w:rFonts w:ascii="Palatino Linotype" w:hAnsi="Palatino Linotype"/>
        </w:rPr>
        <w:t xml:space="preserve"> on</w:t>
      </w:r>
      <w:r>
        <w:rPr>
          <w:rFonts w:ascii="Palatino Linotype" w:hAnsi="Palatino Linotype"/>
        </w:rPr>
        <w:t xml:space="preserve"> the need for</w:t>
      </w:r>
      <w:r w:rsidRPr="00266244">
        <w:rPr>
          <w:rFonts w:ascii="Palatino Linotype" w:hAnsi="Palatino Linotype"/>
        </w:rPr>
        <w:t xml:space="preserve"> a major public/private investment program</w:t>
      </w:r>
      <w:r w:rsidR="00726991">
        <w:rPr>
          <w:rFonts w:ascii="Palatino Linotype" w:hAnsi="Palatino Linotype"/>
        </w:rPr>
        <w:t xml:space="preserve"> to address the nation’s decay</w:t>
      </w:r>
      <w:r w:rsidRPr="00266244">
        <w:rPr>
          <w:rFonts w:ascii="Palatino Linotype" w:hAnsi="Palatino Linotype"/>
        </w:rPr>
        <w:t xml:space="preserve">ing infrastructure and job creation needs. If either is elected, she or he will be </w:t>
      </w:r>
      <w:r w:rsidR="00726991">
        <w:rPr>
          <w:rFonts w:ascii="Palatino Linotype" w:hAnsi="Palatino Linotype"/>
        </w:rPr>
        <w:t>looking in earnest for major,</w:t>
      </w:r>
      <w:r w:rsidRPr="00266244">
        <w:rPr>
          <w:rFonts w:ascii="Palatino Linotype" w:hAnsi="Palatino Linotype"/>
        </w:rPr>
        <w:t xml:space="preserve"> “shovel ready” projects.</w:t>
      </w:r>
      <w:r>
        <w:rPr>
          <w:rFonts w:ascii="Palatino Linotype" w:hAnsi="Palatino Linotype"/>
          <w:sz w:val="18"/>
          <w:szCs w:val="18"/>
        </w:rPr>
        <w:t xml:space="preserve">   </w:t>
      </w:r>
      <w:r w:rsidRPr="00234CCE">
        <w:rPr>
          <w:rFonts w:ascii="Palatino Linotype" w:hAnsi="Palatino Linotype" w:cs="Times New Roman"/>
          <w:color w:val="222222"/>
          <w:shd w:val="clear" w:color="auto" w:fill="FFFFFF"/>
        </w:rPr>
        <w:t>Why</w:t>
      </w:r>
      <w:r>
        <w:rPr>
          <w:rFonts w:ascii="Palatino Linotype" w:hAnsi="Palatino Linotype" w:cs="Times New Roman"/>
          <w:color w:val="222222"/>
          <w:shd w:val="clear" w:color="auto" w:fill="FFFFFF"/>
        </w:rPr>
        <w:t>, then,</w:t>
      </w:r>
      <w:r w:rsidR="001171C3">
        <w:rPr>
          <w:rFonts w:ascii="Palatino Linotype" w:hAnsi="Palatino Linotype" w:cs="Times New Roman"/>
          <w:color w:val="222222"/>
          <w:shd w:val="clear" w:color="auto" w:fill="FFFFFF"/>
        </w:rPr>
        <w:t xml:space="preserve"> not</w:t>
      </w:r>
      <w:r>
        <w:rPr>
          <w:rFonts w:ascii="Palatino Linotype" w:hAnsi="Palatino Linotype" w:cs="Times New Roman"/>
          <w:color w:val="222222"/>
          <w:shd w:val="clear" w:color="auto" w:fill="FFFFFF"/>
        </w:rPr>
        <w:t xml:space="preserve"> </w:t>
      </w:r>
      <w:r w:rsidRPr="00234CCE">
        <w:rPr>
          <w:rFonts w:ascii="Palatino Linotype" w:hAnsi="Palatino Linotype" w:cs="Times New Roman"/>
          <w:color w:val="222222"/>
          <w:shd w:val="clear" w:color="auto" w:fill="FFFFFF"/>
        </w:rPr>
        <w:t>move forward with the approved plan to reconfigure Franklin Street as a tree-lined boulevard with wide sidewalks for pedestrians and five or six story commercial and residential buildings</w:t>
      </w:r>
      <w:r w:rsidR="009E622D">
        <w:rPr>
          <w:rFonts w:ascii="Palatino Linotype" w:hAnsi="Palatino Linotype" w:cs="Times New Roman"/>
          <w:color w:val="222222"/>
          <w:shd w:val="clear" w:color="auto" w:fill="FFFFFF"/>
        </w:rPr>
        <w:t xml:space="preserve"> on either side</w:t>
      </w:r>
      <w:r w:rsidRPr="00234CCE">
        <w:rPr>
          <w:rFonts w:ascii="Palatino Linotype" w:hAnsi="Palatino Linotype" w:cs="Times New Roman"/>
          <w:color w:val="222222"/>
          <w:shd w:val="clear" w:color="auto" w:fill="FFFFFF"/>
        </w:rPr>
        <w:t xml:space="preserve">?  </w:t>
      </w:r>
    </w:p>
    <w:p w:rsidR="00266244" w:rsidRPr="00266244" w:rsidRDefault="00266244" w:rsidP="001171C3">
      <w:pPr>
        <w:spacing w:after="120" w:line="360" w:lineRule="auto"/>
        <w:rPr>
          <w:rFonts w:ascii="Palatino Linotype" w:hAnsi="Palatino Linotype"/>
          <w:sz w:val="18"/>
          <w:szCs w:val="18"/>
        </w:rPr>
      </w:pPr>
      <w:r w:rsidRPr="00234CCE">
        <w:rPr>
          <w:rFonts w:ascii="Palatino Linotype" w:hAnsi="Palatino Linotype" w:cs="Times New Roman"/>
          <w:color w:val="222222"/>
          <w:shd w:val="clear" w:color="auto" w:fill="FFFFFF"/>
        </w:rPr>
        <w:t>With Maine Med’s recent expansion announcem</w:t>
      </w:r>
      <w:r>
        <w:rPr>
          <w:rFonts w:ascii="Palatino Linotype" w:hAnsi="Palatino Linotype" w:cs="Times New Roman"/>
          <w:color w:val="222222"/>
          <w:shd w:val="clear" w:color="auto" w:fill="FFFFFF"/>
        </w:rPr>
        <w:t>ent, why not</w:t>
      </w:r>
      <w:r w:rsidRPr="00234CCE">
        <w:rPr>
          <w:rFonts w:ascii="Palatino Linotype" w:hAnsi="Palatino Linotype" w:cs="Times New Roman"/>
          <w:color w:val="222222"/>
          <w:shd w:val="clear" w:color="auto" w:fill="FFFFFF"/>
        </w:rPr>
        <w:t xml:space="preserve"> refur</w:t>
      </w:r>
      <w:r>
        <w:rPr>
          <w:rFonts w:ascii="Palatino Linotype" w:hAnsi="Palatino Linotype" w:cs="Times New Roman"/>
          <w:color w:val="222222"/>
          <w:shd w:val="clear" w:color="auto" w:fill="FFFFFF"/>
        </w:rPr>
        <w:t>bish the St. John/Valley St.</w:t>
      </w:r>
      <w:r w:rsidRPr="00234CCE">
        <w:rPr>
          <w:rFonts w:ascii="Palatino Linotype" w:hAnsi="Palatino Linotype" w:cs="Times New Roman"/>
          <w:color w:val="222222"/>
          <w:shd w:val="clear" w:color="auto" w:fill="FFFFFF"/>
        </w:rPr>
        <w:t xml:space="preserve"> area as an attractive neighborhood for its current </w:t>
      </w:r>
      <w:r>
        <w:rPr>
          <w:rFonts w:ascii="Palatino Linotype" w:hAnsi="Palatino Linotype" w:cs="Times New Roman"/>
          <w:color w:val="222222"/>
          <w:shd w:val="clear" w:color="auto" w:fill="FFFFFF"/>
        </w:rPr>
        <w:t>residents, businesses,</w:t>
      </w:r>
      <w:r w:rsidRPr="00234CCE">
        <w:rPr>
          <w:rFonts w:ascii="Palatino Linotype" w:hAnsi="Palatino Linotype" w:cs="Times New Roman"/>
          <w:color w:val="222222"/>
          <w:shd w:val="clear" w:color="auto" w:fill="FFFFFF"/>
        </w:rPr>
        <w:t xml:space="preserve"> </w:t>
      </w:r>
      <w:r>
        <w:rPr>
          <w:rFonts w:ascii="Palatino Linotype" w:hAnsi="Palatino Linotype" w:cs="Times New Roman"/>
          <w:color w:val="222222"/>
          <w:shd w:val="clear" w:color="auto" w:fill="FFFFFF"/>
        </w:rPr>
        <w:t xml:space="preserve">new </w:t>
      </w:r>
      <w:r w:rsidRPr="00234CCE">
        <w:rPr>
          <w:rFonts w:ascii="Palatino Linotype" w:hAnsi="Palatino Linotype" w:cs="Times New Roman"/>
          <w:color w:val="222222"/>
          <w:shd w:val="clear" w:color="auto" w:fill="FFFFFF"/>
        </w:rPr>
        <w:t xml:space="preserve">medical center employees, and </w:t>
      </w:r>
      <w:r w:rsidR="00FC14DE">
        <w:rPr>
          <w:rFonts w:ascii="Palatino Linotype" w:hAnsi="Palatino Linotype" w:cs="Times New Roman"/>
          <w:color w:val="222222"/>
          <w:shd w:val="clear" w:color="auto" w:fill="FFFFFF"/>
        </w:rPr>
        <w:t xml:space="preserve">food processing and other </w:t>
      </w:r>
      <w:r w:rsidRPr="00234CCE">
        <w:rPr>
          <w:rFonts w:ascii="Palatino Linotype" w:hAnsi="Palatino Linotype" w:cs="Times New Roman"/>
          <w:color w:val="222222"/>
          <w:shd w:val="clear" w:color="auto" w:fill="FFFFFF"/>
        </w:rPr>
        <w:t xml:space="preserve">light industry? The Rocky Hill section behind Morrell’s Corner offers </w:t>
      </w:r>
      <w:r>
        <w:rPr>
          <w:rFonts w:ascii="Palatino Linotype" w:hAnsi="Palatino Linotype" w:cs="Times New Roman"/>
          <w:color w:val="222222"/>
          <w:shd w:val="clear" w:color="auto" w:fill="FFFFFF"/>
        </w:rPr>
        <w:t xml:space="preserve">yet </w:t>
      </w:r>
      <w:r w:rsidRPr="00234CCE">
        <w:rPr>
          <w:rFonts w:ascii="Palatino Linotype" w:hAnsi="Palatino Linotype" w:cs="Times New Roman"/>
          <w:color w:val="222222"/>
          <w:shd w:val="clear" w:color="auto" w:fill="FFFFFF"/>
        </w:rPr>
        <w:t>another exciting possibili</w:t>
      </w:r>
      <w:r>
        <w:rPr>
          <w:rFonts w:ascii="Palatino Linotype" w:hAnsi="Palatino Linotype" w:cs="Times New Roman"/>
          <w:color w:val="222222"/>
          <w:shd w:val="clear" w:color="auto" w:fill="FFFFFF"/>
        </w:rPr>
        <w:t xml:space="preserve">ty for a </w:t>
      </w:r>
      <w:r w:rsidR="00726991">
        <w:rPr>
          <w:rFonts w:ascii="Palatino Linotype" w:hAnsi="Palatino Linotype" w:cs="Times New Roman"/>
          <w:color w:val="222222"/>
          <w:shd w:val="clear" w:color="auto" w:fill="FFFFFF"/>
        </w:rPr>
        <w:t xml:space="preserve">new </w:t>
      </w:r>
      <w:r>
        <w:rPr>
          <w:rFonts w:ascii="Palatino Linotype" w:hAnsi="Palatino Linotype" w:cs="Times New Roman"/>
          <w:color w:val="222222"/>
          <w:shd w:val="clear" w:color="auto" w:fill="FFFFFF"/>
        </w:rPr>
        <w:t>neighborhood where as many as</w:t>
      </w:r>
      <w:r w:rsidRPr="00234CCE">
        <w:rPr>
          <w:rFonts w:ascii="Palatino Linotype" w:hAnsi="Palatino Linotype" w:cs="Times New Roman"/>
          <w:color w:val="222222"/>
          <w:shd w:val="clear" w:color="auto" w:fill="FFFFFF"/>
        </w:rPr>
        <w:t xml:space="preserve"> 5,000 people might live, work, and shop without getting into a car</w:t>
      </w:r>
      <w:r>
        <w:rPr>
          <w:rFonts w:ascii="Palatino Linotype" w:hAnsi="Palatino Linotype" w:cs="Times New Roman"/>
          <w:color w:val="222222"/>
          <w:shd w:val="clear" w:color="auto" w:fill="FFFFFF"/>
        </w:rPr>
        <w:t>,</w:t>
      </w:r>
      <w:r w:rsidRPr="00234CCE">
        <w:rPr>
          <w:rFonts w:ascii="Palatino Linotype" w:hAnsi="Palatino Linotype" w:cs="Times New Roman"/>
          <w:color w:val="222222"/>
          <w:shd w:val="clear" w:color="auto" w:fill="FFFFFF"/>
        </w:rPr>
        <w:t xml:space="preserve"> and  be connected to the peninsu</w:t>
      </w:r>
      <w:r w:rsidR="00726991">
        <w:rPr>
          <w:rFonts w:ascii="Palatino Linotype" w:hAnsi="Palatino Linotype" w:cs="Times New Roman"/>
          <w:color w:val="222222"/>
          <w:shd w:val="clear" w:color="auto" w:fill="FFFFFF"/>
        </w:rPr>
        <w:t>la by</w:t>
      </w:r>
      <w:r>
        <w:rPr>
          <w:rFonts w:ascii="Palatino Linotype" w:hAnsi="Palatino Linotype" w:cs="Times New Roman"/>
          <w:color w:val="222222"/>
          <w:shd w:val="clear" w:color="auto" w:fill="FFFFFF"/>
        </w:rPr>
        <w:t xml:space="preserve"> improved public transit.</w:t>
      </w:r>
      <w:r w:rsidRPr="00234CCE">
        <w:rPr>
          <w:rFonts w:ascii="Palatino Linotype" w:hAnsi="Palatino Linotype" w:cs="Times New Roman"/>
          <w:color w:val="222222"/>
          <w:shd w:val="clear" w:color="auto" w:fill="FFFFFF"/>
        </w:rPr>
        <w:t xml:space="preserve"> </w:t>
      </w:r>
      <w:r w:rsidRPr="00234CCE">
        <w:rPr>
          <w:rFonts w:ascii="Palatino Linotype" w:hAnsi="Palatino Linotype" w:cs="Times New Roman"/>
        </w:rPr>
        <w:t xml:space="preserve"> </w:t>
      </w:r>
    </w:p>
    <w:p w:rsidR="00FC14DE" w:rsidRDefault="00FD20D3" w:rsidP="00BB6F30">
      <w:pPr>
        <w:spacing w:after="120" w:line="360" w:lineRule="auto"/>
        <w:rPr>
          <w:rFonts w:ascii="Palatino Linotype" w:eastAsia="Times New Roman" w:hAnsi="Palatino Linotype" w:cs="Times New Roman"/>
        </w:rPr>
      </w:pPr>
      <w:r>
        <w:rPr>
          <w:rFonts w:ascii="Palatino Linotype" w:eastAsia="Times New Roman" w:hAnsi="Palatino Linotype" w:cs="Times New Roman"/>
        </w:rPr>
        <w:t>Why not aspire to remove</w:t>
      </w:r>
      <w:r w:rsidRPr="00121F27">
        <w:rPr>
          <w:rFonts w:ascii="Palatino Linotype" w:eastAsia="Times New Roman" w:hAnsi="Palatino Linotype" w:cs="Times New Roman"/>
        </w:rPr>
        <w:t xml:space="preserve"> Portland’s I-2</w:t>
      </w:r>
      <w:r>
        <w:rPr>
          <w:rFonts w:ascii="Palatino Linotype" w:eastAsia="Times New Roman" w:hAnsi="Palatino Linotype" w:cs="Times New Roman"/>
        </w:rPr>
        <w:t>95 between Congress and Tukey’s Bridge</w:t>
      </w:r>
      <w:r w:rsidRPr="00121F27">
        <w:rPr>
          <w:rFonts w:ascii="Palatino Linotype" w:eastAsia="Times New Roman" w:hAnsi="Palatino Linotype" w:cs="Times New Roman"/>
        </w:rPr>
        <w:t xml:space="preserve"> altogether, </w:t>
      </w:r>
      <w:r>
        <w:rPr>
          <w:rFonts w:ascii="Palatino Linotype" w:eastAsia="Times New Roman" w:hAnsi="Palatino Linotype" w:cs="Times New Roman"/>
        </w:rPr>
        <w:t>direct northbound</w:t>
      </w:r>
      <w:r w:rsidRPr="00121F27">
        <w:rPr>
          <w:rFonts w:ascii="Palatino Linotype" w:eastAsia="Times New Roman" w:hAnsi="Palatino Linotype" w:cs="Times New Roman"/>
        </w:rPr>
        <w:t xml:space="preserve"> through-traffic to the Falmouth Connector, </w:t>
      </w:r>
      <w:r>
        <w:rPr>
          <w:rFonts w:ascii="Palatino Linotype" w:eastAsia="Times New Roman" w:hAnsi="Palatino Linotype" w:cs="Times New Roman"/>
        </w:rPr>
        <w:t>and make</w:t>
      </w:r>
      <w:r w:rsidRPr="00121F27">
        <w:rPr>
          <w:rFonts w:ascii="Palatino Linotype" w:eastAsia="Times New Roman" w:hAnsi="Palatino Linotype" w:cs="Times New Roman"/>
        </w:rPr>
        <w:t xml:space="preserve"> the</w:t>
      </w:r>
      <w:r w:rsidR="00266244">
        <w:rPr>
          <w:rFonts w:ascii="Palatino Linotype" w:eastAsia="Times New Roman" w:hAnsi="Palatino Linotype" w:cs="Times New Roman"/>
        </w:rPr>
        <w:t xml:space="preserve"> Congress-to-Washington</w:t>
      </w:r>
      <w:r>
        <w:rPr>
          <w:rFonts w:ascii="Palatino Linotype" w:eastAsia="Times New Roman" w:hAnsi="Palatino Linotype" w:cs="Times New Roman"/>
        </w:rPr>
        <w:t xml:space="preserve"> corridor int</w:t>
      </w:r>
      <w:r w:rsidRPr="00121F27">
        <w:rPr>
          <w:rFonts w:ascii="Palatino Linotype" w:eastAsia="Times New Roman" w:hAnsi="Palatino Linotype" w:cs="Times New Roman"/>
        </w:rPr>
        <w:t xml:space="preserve">o a grand boulevard for </w:t>
      </w:r>
      <w:r>
        <w:rPr>
          <w:rFonts w:ascii="Palatino Linotype" w:eastAsia="Times New Roman" w:hAnsi="Palatino Linotype" w:cs="Times New Roman"/>
        </w:rPr>
        <w:t xml:space="preserve">local </w:t>
      </w:r>
      <w:r w:rsidRPr="00121F27">
        <w:rPr>
          <w:rFonts w:ascii="Palatino Linotype" w:eastAsia="Times New Roman" w:hAnsi="Palatino Linotype" w:cs="Times New Roman"/>
        </w:rPr>
        <w:t>businesses, housing, and useful green space?</w:t>
      </w:r>
      <w:r>
        <w:rPr>
          <w:rFonts w:ascii="Palatino Linotype" w:eastAsia="Times New Roman" w:hAnsi="Palatino Linotype" w:cs="Times New Roman"/>
        </w:rPr>
        <w:t xml:space="preserve">  </w:t>
      </w:r>
    </w:p>
    <w:p w:rsidR="00BB6F30" w:rsidRPr="00E46854" w:rsidRDefault="00FD20D3" w:rsidP="00BB6F30">
      <w:pPr>
        <w:spacing w:after="120" w:line="360" w:lineRule="auto"/>
        <w:rPr>
          <w:rFonts w:ascii="Palatino Linotype" w:hAnsi="Palatino Linotype" w:cs="Times New Roman"/>
        </w:rPr>
      </w:pPr>
      <w:r>
        <w:rPr>
          <w:rFonts w:ascii="Palatino Linotype" w:eastAsia="Times New Roman" w:hAnsi="Palatino Linotype" w:cs="Times New Roman"/>
        </w:rPr>
        <w:t>How wonderful a gift to the city might it be to repair the pain once inflicted upo</w:t>
      </w:r>
      <w:r w:rsidR="00BB6F30">
        <w:rPr>
          <w:rFonts w:ascii="Palatino Linotype" w:eastAsia="Times New Roman" w:hAnsi="Palatino Linotype" w:cs="Times New Roman"/>
        </w:rPr>
        <w:t>n it along Franklin and S</w:t>
      </w:r>
      <w:r w:rsidR="00630305">
        <w:rPr>
          <w:rFonts w:ascii="Palatino Linotype" w:eastAsia="Times New Roman" w:hAnsi="Palatino Linotype" w:cs="Times New Roman"/>
        </w:rPr>
        <w:t>pring s</w:t>
      </w:r>
      <w:r>
        <w:rPr>
          <w:rFonts w:ascii="Palatino Linotype" w:eastAsia="Times New Roman" w:hAnsi="Palatino Linotype" w:cs="Times New Roman"/>
        </w:rPr>
        <w:t>t</w:t>
      </w:r>
      <w:r w:rsidR="00630305">
        <w:rPr>
          <w:rFonts w:ascii="Palatino Linotype" w:eastAsia="Times New Roman" w:hAnsi="Palatino Linotype" w:cs="Times New Roman"/>
        </w:rPr>
        <w:t xml:space="preserve">reets and what is now I-295, </w:t>
      </w:r>
      <w:r>
        <w:rPr>
          <w:rFonts w:ascii="Palatino Linotype" w:eastAsia="Times New Roman" w:hAnsi="Palatino Linotype" w:cs="Times New Roman"/>
        </w:rPr>
        <w:t>re-creating each of these as a lively and pleasurable scene of increased housing, commerce, and personal enjoyment?</w:t>
      </w:r>
      <w:r w:rsidR="00726991">
        <w:rPr>
          <w:rFonts w:ascii="Palatino Linotype" w:eastAsia="Times New Roman" w:hAnsi="Palatino Linotype" w:cs="Times New Roman"/>
        </w:rPr>
        <w:t xml:space="preserve"> </w:t>
      </w:r>
      <w:r w:rsidR="00BB6F30" w:rsidRPr="00E46854">
        <w:rPr>
          <w:rFonts w:ascii="Palatino Linotype" w:hAnsi="Palatino Linotype"/>
        </w:rPr>
        <w:t xml:space="preserve">Maine Department of Transportation traffic analysis for the re-designed Franklin St. indicates that bringing </w:t>
      </w:r>
      <w:r w:rsidR="00BB6F30" w:rsidRPr="00E46854">
        <w:rPr>
          <w:rFonts w:ascii="Palatino Linotype" w:hAnsi="Palatino Linotype"/>
        </w:rPr>
        <w:lastRenderedPageBreak/>
        <w:t xml:space="preserve">contemporary engineering design standards to these projects will improve both traffic flow and </w:t>
      </w:r>
      <w:r w:rsidR="00E46854">
        <w:rPr>
          <w:rFonts w:ascii="Palatino Linotype" w:hAnsi="Palatino Linotype"/>
        </w:rPr>
        <w:t xml:space="preserve">public </w:t>
      </w:r>
      <w:r w:rsidR="00BB6F30" w:rsidRPr="00E46854">
        <w:rPr>
          <w:rFonts w:ascii="Palatino Linotype" w:hAnsi="Palatino Linotype"/>
        </w:rPr>
        <w:t>safety.</w:t>
      </w:r>
      <w:r w:rsidR="00E46854">
        <w:rPr>
          <w:rStyle w:val="FootnoteReference"/>
          <w:rFonts w:ascii="Palatino Linotype" w:hAnsi="Palatino Linotype"/>
        </w:rPr>
        <w:footnoteReference w:id="22"/>
      </w:r>
      <w:r w:rsidR="00BB6F30" w:rsidRPr="00E46854">
        <w:rPr>
          <w:rFonts w:ascii="Palatino Linotype" w:hAnsi="Palatino Linotype" w:cs="Times New Roman"/>
        </w:rPr>
        <w:t xml:space="preserve"> </w:t>
      </w:r>
    </w:p>
    <w:p w:rsidR="008761D6" w:rsidRDefault="00CF52EE" w:rsidP="008761D6">
      <w:pPr>
        <w:spacing w:after="0" w:line="240" w:lineRule="auto"/>
        <w:rPr>
          <w:rFonts w:ascii="Palatino Linotype" w:hAnsi="Palatino Linotype"/>
          <w:i/>
        </w:rPr>
      </w:pPr>
      <w:r>
        <w:rPr>
          <w:rFonts w:ascii="Palatino Linotype" w:hAnsi="Palatino Linotype"/>
          <w:i/>
        </w:rPr>
        <w:t xml:space="preserve">A new comprehensive plan is now in preparation by the city. </w:t>
      </w:r>
      <w:r w:rsidR="00FD20D3" w:rsidRPr="00BA1CB6">
        <w:rPr>
          <w:rFonts w:ascii="Palatino Linotype" w:hAnsi="Palatino Linotype"/>
          <w:i/>
        </w:rPr>
        <w:t>We</w:t>
      </w:r>
      <w:r>
        <w:rPr>
          <w:rFonts w:ascii="Palatino Linotype" w:hAnsi="Palatino Linotype"/>
          <w:i/>
        </w:rPr>
        <w:t xml:space="preserve"> urge </w:t>
      </w:r>
      <w:r w:rsidR="008761D6">
        <w:rPr>
          <w:rFonts w:ascii="Palatino Linotype" w:hAnsi="Palatino Linotype"/>
          <w:i/>
        </w:rPr>
        <w:t xml:space="preserve">the </w:t>
      </w:r>
      <w:r w:rsidR="00A67ADB">
        <w:rPr>
          <w:rFonts w:ascii="Palatino Linotype" w:hAnsi="Palatino Linotype"/>
          <w:i/>
        </w:rPr>
        <w:t xml:space="preserve">early </w:t>
      </w:r>
      <w:r w:rsidR="00FD20D3" w:rsidRPr="00BA1CB6">
        <w:rPr>
          <w:rFonts w:ascii="Palatino Linotype" w:hAnsi="Palatino Linotype"/>
          <w:i/>
        </w:rPr>
        <w:t>adop</w:t>
      </w:r>
      <w:r w:rsidR="00A67ADB">
        <w:rPr>
          <w:rFonts w:ascii="Palatino Linotype" w:hAnsi="Palatino Linotype"/>
          <w:i/>
        </w:rPr>
        <w:t>tion</w:t>
      </w:r>
      <w:r w:rsidR="00FD20D3" w:rsidRPr="00BA1CB6">
        <w:rPr>
          <w:rFonts w:ascii="Palatino Linotype" w:hAnsi="Palatino Linotype"/>
          <w:i/>
        </w:rPr>
        <w:t xml:space="preserve"> and implement</w:t>
      </w:r>
      <w:r w:rsidR="00A67ADB">
        <w:rPr>
          <w:rFonts w:ascii="Palatino Linotype" w:hAnsi="Palatino Linotype"/>
          <w:i/>
        </w:rPr>
        <w:t>ation of</w:t>
      </w:r>
      <w:r>
        <w:rPr>
          <w:rFonts w:ascii="Palatino Linotype" w:hAnsi="Palatino Linotype"/>
          <w:i/>
        </w:rPr>
        <w:t xml:space="preserve"> a </w:t>
      </w:r>
      <w:r w:rsidR="00FD20D3">
        <w:rPr>
          <w:rFonts w:ascii="Palatino Linotype" w:hAnsi="Palatino Linotype"/>
          <w:i/>
        </w:rPr>
        <w:t xml:space="preserve">plan that </w:t>
      </w:r>
      <w:r>
        <w:rPr>
          <w:rFonts w:ascii="Palatino Linotype" w:hAnsi="Palatino Linotype"/>
          <w:i/>
        </w:rPr>
        <w:t xml:space="preserve">will </w:t>
      </w:r>
      <w:r w:rsidR="00FD20D3">
        <w:rPr>
          <w:rFonts w:ascii="Palatino Linotype" w:hAnsi="Palatino Linotype"/>
          <w:i/>
        </w:rPr>
        <w:t>embrace</w:t>
      </w:r>
      <w:r w:rsidR="008761D6">
        <w:rPr>
          <w:rFonts w:ascii="Palatino Linotype" w:hAnsi="Palatino Linotype"/>
          <w:i/>
        </w:rPr>
        <w:t xml:space="preserve"> and incentivize</w:t>
      </w:r>
      <w:r w:rsidR="00FD20D3" w:rsidRPr="00BA1CB6">
        <w:rPr>
          <w:rFonts w:ascii="Palatino Linotype" w:hAnsi="Palatino Linotype"/>
          <w:i/>
        </w:rPr>
        <w:t xml:space="preserve"> these urban </w:t>
      </w:r>
      <w:r w:rsidR="00FD20D3" w:rsidRPr="000D76A0">
        <w:rPr>
          <w:rFonts w:ascii="Palatino Linotype" w:hAnsi="Palatino Linotype"/>
          <w:i/>
        </w:rPr>
        <w:t>growth</w:t>
      </w:r>
      <w:r w:rsidR="00FD20D3" w:rsidRPr="00BA1CB6">
        <w:rPr>
          <w:rFonts w:ascii="Palatino Linotype" w:hAnsi="Palatino Linotype"/>
          <w:i/>
        </w:rPr>
        <w:t xml:space="preserve"> goals.  </w:t>
      </w:r>
    </w:p>
    <w:p w:rsidR="008761D6" w:rsidRDefault="008761D6" w:rsidP="008761D6">
      <w:pPr>
        <w:spacing w:after="0" w:line="240" w:lineRule="auto"/>
        <w:rPr>
          <w:rFonts w:ascii="Palatino Linotype" w:hAnsi="Palatino Linotype"/>
          <w:i/>
        </w:rPr>
      </w:pPr>
    </w:p>
    <w:p w:rsidR="00B25393" w:rsidRPr="008761D6" w:rsidRDefault="00FD20D3" w:rsidP="008761D6">
      <w:pPr>
        <w:spacing w:after="120" w:line="360" w:lineRule="auto"/>
        <w:rPr>
          <w:rFonts w:ascii="Palatino Linotype" w:hAnsi="Palatino Linotype"/>
          <w:i/>
        </w:rPr>
      </w:pPr>
      <w:r>
        <w:rPr>
          <w:rFonts w:ascii="Palatino Linotype" w:eastAsia="Times New Roman" w:hAnsi="Palatino Linotype" w:cs="Times New Roman"/>
          <w:color w:val="000000"/>
        </w:rPr>
        <w:t>Portland has</w:t>
      </w:r>
      <w:r w:rsidRPr="000C128B">
        <w:rPr>
          <w:rFonts w:ascii="Palatino Linotype" w:eastAsia="Times New Roman" w:hAnsi="Palatino Linotype" w:cs="Times New Roman"/>
          <w:color w:val="000000"/>
        </w:rPr>
        <w:t xml:space="preserve"> been a city of </w:t>
      </w:r>
      <w:r>
        <w:rPr>
          <w:rFonts w:ascii="Palatino Linotype" w:eastAsia="Times New Roman" w:hAnsi="Palatino Linotype" w:cs="Times New Roman"/>
          <w:color w:val="000000"/>
        </w:rPr>
        <w:t>challenge and change</w:t>
      </w:r>
      <w:r w:rsidRPr="000C128B">
        <w:rPr>
          <w:rFonts w:ascii="Palatino Linotype" w:eastAsia="Times New Roman" w:hAnsi="Palatino Linotype" w:cs="Times New Roman"/>
          <w:color w:val="000000"/>
        </w:rPr>
        <w:t xml:space="preserve"> from its very beginnings at the foot of India Street</w:t>
      </w:r>
      <w:r w:rsidR="008761D6">
        <w:rPr>
          <w:rFonts w:ascii="Palatino Linotype" w:eastAsia="Times New Roman" w:hAnsi="Palatino Linotype" w:cs="Times New Roman"/>
          <w:color w:val="000000"/>
        </w:rPr>
        <w:t xml:space="preserve"> some</w:t>
      </w:r>
      <w:r>
        <w:rPr>
          <w:rFonts w:ascii="Palatino Linotype" w:eastAsia="Times New Roman" w:hAnsi="Palatino Linotype" w:cs="Times New Roman"/>
          <w:color w:val="000000"/>
        </w:rPr>
        <w:t xml:space="preserve"> 400 years ago</w:t>
      </w:r>
      <w:r w:rsidRPr="000C128B">
        <w:rPr>
          <w:rFonts w:ascii="Palatino Linotype" w:eastAsia="Times New Roman" w:hAnsi="Palatino Linotype" w:cs="Times New Roman"/>
          <w:color w:val="000000"/>
        </w:rPr>
        <w:t>.</w:t>
      </w:r>
      <w:r>
        <w:rPr>
          <w:rFonts w:ascii="Palatino Linotype" w:hAnsi="Palatino Linotype" w:cs="Arial"/>
          <w:color w:val="222222"/>
          <w:shd w:val="clear" w:color="auto" w:fill="FFFFFF"/>
        </w:rPr>
        <w:t xml:space="preserve"> To this day</w:t>
      </w:r>
      <w:r w:rsidRPr="00FA2CE7">
        <w:rPr>
          <w:rFonts w:ascii="Palatino Linotype" w:hAnsi="Palatino Linotype" w:cs="Arial"/>
          <w:color w:val="222222"/>
          <w:shd w:val="clear" w:color="auto" w:fill="FFFFFF"/>
        </w:rPr>
        <w:t>, in the words of one historian, its residents have shown resilience, pragmatism, and “a willingness to fight for change.”</w:t>
      </w:r>
      <w:r w:rsidR="00D44F85">
        <w:rPr>
          <w:rStyle w:val="FootnoteReference"/>
          <w:rFonts w:ascii="Palatino Linotype" w:hAnsi="Palatino Linotype" w:cs="Arial"/>
          <w:color w:val="222222"/>
          <w:shd w:val="clear" w:color="auto" w:fill="FFFFFF"/>
        </w:rPr>
        <w:footnoteReference w:id="23"/>
      </w:r>
      <w:r>
        <w:rPr>
          <w:rFonts w:ascii="Palatino Linotype" w:eastAsia="Times New Roman" w:hAnsi="Palatino Linotype" w:cs="Times New Roman"/>
          <w:color w:val="000000"/>
        </w:rPr>
        <w:t xml:space="preserve"> </w:t>
      </w:r>
      <w:r w:rsidRPr="00B600E3">
        <w:rPr>
          <w:rFonts w:ascii="Palatino Linotype" w:eastAsia="Times New Roman" w:hAnsi="Palatino Linotype" w:cs="Times New Roman"/>
          <w:color w:val="000000"/>
        </w:rPr>
        <w:t>It is time</w:t>
      </w:r>
      <w:r w:rsidR="008761D6">
        <w:rPr>
          <w:rFonts w:ascii="Palatino Linotype" w:eastAsia="Times New Roman" w:hAnsi="Palatino Linotype" w:cs="Times New Roman"/>
          <w:color w:val="000000"/>
        </w:rPr>
        <w:t xml:space="preserve"> now for us</w:t>
      </w:r>
      <w:r w:rsidRPr="00B600E3">
        <w:rPr>
          <w:rFonts w:ascii="Palatino Linotype" w:eastAsia="Times New Roman" w:hAnsi="Palatino Linotype" w:cs="Times New Roman"/>
          <w:color w:val="000000"/>
        </w:rPr>
        <w:t xml:space="preserve"> to act, </w:t>
      </w:r>
      <w:r w:rsidR="00630305">
        <w:rPr>
          <w:rFonts w:ascii="Palatino Linotype" w:eastAsia="Times New Roman" w:hAnsi="Palatino Linotype" w:cs="Times New Roman"/>
          <w:color w:val="000000"/>
        </w:rPr>
        <w:t xml:space="preserve">to respond to the dire workforce, </w:t>
      </w:r>
      <w:r>
        <w:rPr>
          <w:rFonts w:ascii="Palatino Linotype" w:eastAsia="Times New Roman" w:hAnsi="Palatino Linotype" w:cs="Times New Roman"/>
          <w:color w:val="000000"/>
        </w:rPr>
        <w:t>housing</w:t>
      </w:r>
      <w:r w:rsidR="00630305">
        <w:rPr>
          <w:rFonts w:ascii="Palatino Linotype" w:eastAsia="Times New Roman" w:hAnsi="Palatino Linotype" w:cs="Times New Roman"/>
          <w:color w:val="000000"/>
        </w:rPr>
        <w:t>, and public investment</w:t>
      </w:r>
      <w:r>
        <w:rPr>
          <w:rFonts w:ascii="Palatino Linotype" w:eastAsia="Times New Roman" w:hAnsi="Palatino Linotype" w:cs="Times New Roman"/>
          <w:color w:val="000000"/>
        </w:rPr>
        <w:t xml:space="preserve"> challenge</w:t>
      </w:r>
      <w:r w:rsidR="00630305">
        <w:rPr>
          <w:rFonts w:ascii="Palatino Linotype" w:eastAsia="Times New Roman" w:hAnsi="Palatino Linotype" w:cs="Times New Roman"/>
          <w:color w:val="000000"/>
        </w:rPr>
        <w:t>s</w:t>
      </w:r>
      <w:r>
        <w:rPr>
          <w:rFonts w:ascii="Palatino Linotype" w:eastAsia="Times New Roman" w:hAnsi="Palatino Linotype" w:cs="Times New Roman"/>
          <w:color w:val="000000"/>
        </w:rPr>
        <w:t xml:space="preserve"> facing the city</w:t>
      </w:r>
      <w:r w:rsidRPr="00B600E3">
        <w:rPr>
          <w:rFonts w:ascii="Palatino Linotype" w:eastAsia="Times New Roman" w:hAnsi="Palatino Linotype" w:cs="Times New Roman"/>
          <w:color w:val="000000"/>
        </w:rPr>
        <w:t>; a time to</w:t>
      </w:r>
      <w:r>
        <w:rPr>
          <w:rFonts w:ascii="Palatino Linotype" w:eastAsia="Times New Roman" w:hAnsi="Palatino Linotype" w:cs="Times New Roman"/>
          <w:color w:val="000000"/>
        </w:rPr>
        <w:t xml:space="preserve"> envision and</w:t>
      </w:r>
      <w:r w:rsidRPr="00B600E3">
        <w:rPr>
          <w:rFonts w:ascii="Palatino Linotype" w:eastAsia="Times New Roman" w:hAnsi="Palatino Linotype" w:cs="Times New Roman"/>
          <w:color w:val="000000"/>
        </w:rPr>
        <w:t xml:space="preserve"> build a </w:t>
      </w:r>
      <w:r w:rsidR="00726991">
        <w:rPr>
          <w:rFonts w:ascii="Palatino Linotype" w:eastAsia="Times New Roman" w:hAnsi="Palatino Linotype" w:cs="Times New Roman"/>
          <w:color w:val="000000"/>
        </w:rPr>
        <w:t xml:space="preserve">greater </w:t>
      </w:r>
      <w:r w:rsidRPr="00B600E3">
        <w:rPr>
          <w:rFonts w:ascii="Palatino Linotype" w:eastAsia="Times New Roman" w:hAnsi="Palatino Linotype" w:cs="Times New Roman"/>
          <w:color w:val="000000"/>
        </w:rPr>
        <w:t xml:space="preserve">Portland for the coming century </w:t>
      </w:r>
      <w:r>
        <w:rPr>
          <w:rFonts w:ascii="Palatino Linotype" w:eastAsia="Times New Roman" w:hAnsi="Palatino Linotype" w:cs="Times New Roman"/>
          <w:color w:val="000000"/>
        </w:rPr>
        <w:t xml:space="preserve">that will highlight </w:t>
      </w:r>
      <w:r w:rsidR="00FC6B62">
        <w:rPr>
          <w:rFonts w:ascii="Palatino Linotype" w:eastAsia="Times New Roman" w:hAnsi="Palatino Linotype" w:cs="Times New Roman"/>
          <w:color w:val="000000"/>
        </w:rPr>
        <w:t xml:space="preserve">new and exciting (if familiar) architectural forms, and to </w:t>
      </w:r>
      <w:r>
        <w:rPr>
          <w:rFonts w:ascii="Palatino Linotype" w:eastAsia="Times New Roman" w:hAnsi="Palatino Linotype" w:cs="Times New Roman"/>
          <w:color w:val="000000"/>
        </w:rPr>
        <w:t>adv</w:t>
      </w:r>
      <w:r w:rsidR="00FC6B62">
        <w:rPr>
          <w:rFonts w:ascii="Palatino Linotype" w:eastAsia="Times New Roman" w:hAnsi="Palatino Linotype" w:cs="Times New Roman"/>
          <w:color w:val="000000"/>
        </w:rPr>
        <w:t>ance its acknowledged resiliency</w:t>
      </w:r>
      <w:r>
        <w:rPr>
          <w:rFonts w:ascii="Palatino Linotype" w:eastAsia="Times New Roman" w:hAnsi="Palatino Linotype" w:cs="Times New Roman"/>
          <w:color w:val="000000"/>
        </w:rPr>
        <w:t xml:space="preserve"> and quality of place.</w:t>
      </w:r>
      <w:r w:rsidRPr="00A8507F">
        <w:rPr>
          <w:rFonts w:ascii="Palatino Linotype" w:hAnsi="Palatino Linotype"/>
        </w:rPr>
        <w:t xml:space="preserve"> </w:t>
      </w:r>
    </w:p>
    <w:p w:rsidR="00216512" w:rsidRDefault="00216512" w:rsidP="001171C3">
      <w:pPr>
        <w:spacing w:after="0" w:line="240" w:lineRule="auto"/>
        <w:rPr>
          <w:rFonts w:ascii="Palatino Linotype" w:hAnsi="Palatino Linotype" w:cs="Arial"/>
          <w:u w:val="single"/>
        </w:rPr>
      </w:pPr>
    </w:p>
    <w:p w:rsidR="00B25393" w:rsidRPr="0089571C" w:rsidRDefault="00B25393" w:rsidP="001171C3">
      <w:pPr>
        <w:spacing w:after="0" w:line="240" w:lineRule="auto"/>
        <w:rPr>
          <w:rFonts w:ascii="Palatino Linotype" w:hAnsi="Palatino Linotype" w:cs="Arial"/>
          <w:u w:val="single"/>
        </w:rPr>
      </w:pPr>
      <w:r w:rsidRPr="003F40D2">
        <w:rPr>
          <w:rFonts w:ascii="Palatino Linotype" w:hAnsi="Palatino Linotype" w:cs="Arial"/>
          <w:u w:val="single"/>
        </w:rPr>
        <w:t>Contributors</w:t>
      </w:r>
      <w:r>
        <w:rPr>
          <w:rFonts w:ascii="Palatino Linotype" w:hAnsi="Palatino Linotype" w:cs="Arial"/>
          <w:u w:val="single"/>
        </w:rPr>
        <w:t xml:space="preserve">: </w:t>
      </w:r>
      <w:r w:rsidR="0089571C">
        <w:rPr>
          <w:rFonts w:ascii="Palatino Linotype" w:hAnsi="Palatino Linotype" w:cs="Arial"/>
          <w:u w:val="single"/>
        </w:rPr>
        <w:tab/>
      </w:r>
      <w:r w:rsidRPr="003F40D2">
        <w:rPr>
          <w:rFonts w:ascii="Palatino Linotype" w:hAnsi="Palatino Linotype" w:cs="Arial"/>
        </w:rPr>
        <w:t>Richard Barringer</w:t>
      </w:r>
      <w:r>
        <w:rPr>
          <w:rFonts w:ascii="Palatino Linotype" w:hAnsi="Palatino Linotype" w:cs="Arial"/>
        </w:rPr>
        <w:t>, Muskie School of Public Service</w:t>
      </w:r>
    </w:p>
    <w:p w:rsidR="00B25393" w:rsidRDefault="00B25393" w:rsidP="001171C3">
      <w:pPr>
        <w:spacing w:after="0" w:line="240" w:lineRule="auto"/>
        <w:ind w:left="720" w:firstLine="720"/>
        <w:rPr>
          <w:rFonts w:ascii="Palatino Linotype" w:hAnsi="Palatino Linotype" w:cs="Arial"/>
        </w:rPr>
      </w:pPr>
      <w:r w:rsidRPr="003F40D2">
        <w:rPr>
          <w:rFonts w:ascii="Palatino Linotype" w:hAnsi="Palatino Linotype" w:cs="Arial"/>
        </w:rPr>
        <w:t>Joseph McDonnell</w:t>
      </w:r>
      <w:r>
        <w:rPr>
          <w:rFonts w:ascii="Palatino Linotype" w:hAnsi="Palatino Linotype" w:cs="Arial"/>
        </w:rPr>
        <w:t>, Muskie School of Public Service</w:t>
      </w:r>
      <w:r w:rsidRPr="00636D53">
        <w:rPr>
          <w:rFonts w:ascii="Palatino Linotype" w:hAnsi="Palatino Linotype" w:cs="Arial"/>
        </w:rPr>
        <w:t xml:space="preserve"> </w:t>
      </w:r>
    </w:p>
    <w:p w:rsidR="0089571C" w:rsidRDefault="00B25393" w:rsidP="001171C3">
      <w:pPr>
        <w:spacing w:after="0" w:line="240" w:lineRule="auto"/>
        <w:ind w:left="720" w:firstLine="720"/>
        <w:rPr>
          <w:rFonts w:ascii="Palatino Linotype" w:hAnsi="Palatino Linotype"/>
        </w:rPr>
      </w:pPr>
      <w:r w:rsidRPr="003F40D2">
        <w:rPr>
          <w:rFonts w:ascii="Palatino Linotype" w:hAnsi="Palatino Linotype" w:cs="Arial"/>
        </w:rPr>
        <w:t>John Dorrer</w:t>
      </w:r>
      <w:r>
        <w:rPr>
          <w:rFonts w:ascii="Palatino Linotype" w:hAnsi="Palatino Linotype" w:cs="Arial"/>
        </w:rPr>
        <w:t xml:space="preserve">, </w:t>
      </w:r>
      <w:r w:rsidRPr="006A5F4A">
        <w:rPr>
          <w:rFonts w:ascii="Palatino Linotype" w:hAnsi="Palatino Linotype"/>
        </w:rPr>
        <w:t xml:space="preserve">formerly with the Georgetown U. Center </w:t>
      </w:r>
      <w:r>
        <w:rPr>
          <w:rFonts w:ascii="Palatino Linotype" w:hAnsi="Palatino Linotype"/>
        </w:rPr>
        <w:t>on Education</w:t>
      </w:r>
      <w:r w:rsidR="0089571C" w:rsidRPr="0089571C">
        <w:rPr>
          <w:rFonts w:ascii="Palatino Linotype" w:hAnsi="Palatino Linotype"/>
        </w:rPr>
        <w:t xml:space="preserve"> </w:t>
      </w:r>
      <w:r w:rsidR="0089571C">
        <w:rPr>
          <w:rFonts w:ascii="Palatino Linotype" w:hAnsi="Palatino Linotype"/>
        </w:rPr>
        <w:t>and</w:t>
      </w:r>
    </w:p>
    <w:p w:rsidR="0089571C" w:rsidRPr="0089571C" w:rsidRDefault="0089571C" w:rsidP="001171C3">
      <w:pPr>
        <w:spacing w:after="0" w:line="240" w:lineRule="auto"/>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sidRPr="0089571C">
        <w:rPr>
          <w:rFonts w:ascii="Palatino Linotype" w:hAnsi="Palatino Linotype"/>
        </w:rPr>
        <w:t>the Workforce</w:t>
      </w:r>
    </w:p>
    <w:p w:rsidR="00266244" w:rsidRDefault="00B25393" w:rsidP="001171C3">
      <w:pPr>
        <w:spacing w:after="0" w:line="240" w:lineRule="auto"/>
        <w:ind w:left="720" w:firstLine="720"/>
        <w:rPr>
          <w:rFonts w:ascii="Palatino Linotype" w:hAnsi="Palatino Linotype"/>
        </w:rPr>
      </w:pPr>
      <w:r w:rsidRPr="0089571C">
        <w:rPr>
          <w:rFonts w:ascii="Palatino Linotype" w:hAnsi="Palatino Linotype" w:cs="Arial"/>
        </w:rPr>
        <w:t>Ryan</w:t>
      </w:r>
      <w:r w:rsidRPr="0089571C">
        <w:rPr>
          <w:rFonts w:ascii="Palatino Linotype" w:hAnsi="Palatino Linotype" w:cs="Arial"/>
          <w:b/>
        </w:rPr>
        <w:t xml:space="preserve"> </w:t>
      </w:r>
      <w:r w:rsidR="0089571C" w:rsidRPr="0089571C">
        <w:rPr>
          <w:rFonts w:ascii="Palatino Linotype" w:hAnsi="Palatino Linotype" w:cs="Arial"/>
        </w:rPr>
        <w:t>W</w:t>
      </w:r>
      <w:r w:rsidRPr="003F40D2">
        <w:rPr>
          <w:rFonts w:ascii="Palatino Linotype" w:hAnsi="Palatino Linotype" w:cs="Arial"/>
        </w:rPr>
        <w:t>allace</w:t>
      </w:r>
      <w:r w:rsidR="00266244">
        <w:rPr>
          <w:rFonts w:ascii="Palatino Linotype" w:hAnsi="Palatino Linotype" w:cs="Arial"/>
        </w:rPr>
        <w:t>, Maine</w:t>
      </w:r>
      <w:r>
        <w:rPr>
          <w:rFonts w:ascii="Palatino Linotype" w:hAnsi="Palatino Linotype" w:cs="Arial"/>
        </w:rPr>
        <w:t xml:space="preserve"> Center for Business &amp; Economic Research</w:t>
      </w:r>
    </w:p>
    <w:p w:rsidR="00266244" w:rsidRDefault="00266244" w:rsidP="00266244">
      <w:pPr>
        <w:spacing w:after="0" w:line="240" w:lineRule="auto"/>
        <w:rPr>
          <w:rFonts w:ascii="Palatino Linotype" w:hAnsi="Palatino Linotype"/>
        </w:rPr>
      </w:pPr>
    </w:p>
    <w:p w:rsidR="001171C3" w:rsidRDefault="001171C3" w:rsidP="00266244">
      <w:pPr>
        <w:spacing w:after="0" w:line="240" w:lineRule="auto"/>
        <w:rPr>
          <w:rFonts w:ascii="Palatino Linotype" w:hAnsi="Palatino Linotype"/>
          <w:sz w:val="28"/>
          <w:szCs w:val="28"/>
        </w:rPr>
      </w:pPr>
    </w:p>
    <w:p w:rsidR="00636D53" w:rsidRPr="003F3BAD" w:rsidRDefault="006C6164" w:rsidP="003F3BAD">
      <w:pPr>
        <w:spacing w:after="160" w:line="259" w:lineRule="auto"/>
        <w:rPr>
          <w:rFonts w:ascii="Palatino Linotype" w:hAnsi="Palatino Linotype"/>
          <w:sz w:val="28"/>
          <w:szCs w:val="28"/>
        </w:rPr>
      </w:pPr>
      <w:r>
        <w:rPr>
          <w:rFonts w:ascii="Palatino Linotype" w:hAnsi="Palatino Linotype"/>
          <w:sz w:val="28"/>
          <w:szCs w:val="28"/>
        </w:rPr>
        <w:br w:type="page"/>
      </w:r>
      <w:r w:rsidR="000E65FB" w:rsidRPr="000E65FB">
        <w:rPr>
          <w:rFonts w:ascii="Palatino Linotype" w:hAnsi="Palatino Linotype"/>
          <w:b/>
          <w:sz w:val="28"/>
          <w:szCs w:val="28"/>
        </w:rPr>
        <w:lastRenderedPageBreak/>
        <w:t xml:space="preserve">II. </w:t>
      </w:r>
      <w:r w:rsidR="00080622" w:rsidRPr="000E65FB">
        <w:rPr>
          <w:rFonts w:ascii="Palatino Linotype" w:hAnsi="Palatino Linotype"/>
          <w:b/>
          <w:sz w:val="28"/>
          <w:szCs w:val="28"/>
        </w:rPr>
        <w:t>Some Il</w:t>
      </w:r>
      <w:r w:rsidR="000E65FB">
        <w:rPr>
          <w:rFonts w:ascii="Palatino Linotype" w:hAnsi="Palatino Linotype"/>
          <w:b/>
          <w:sz w:val="28"/>
          <w:szCs w:val="28"/>
        </w:rPr>
        <w:t>l</w:t>
      </w:r>
      <w:r w:rsidR="00080622" w:rsidRPr="000E65FB">
        <w:rPr>
          <w:rFonts w:ascii="Palatino Linotype" w:hAnsi="Palatino Linotype"/>
          <w:b/>
          <w:sz w:val="28"/>
          <w:szCs w:val="28"/>
        </w:rPr>
        <w:t>ustrations of the</w:t>
      </w:r>
      <w:r w:rsidR="00083234">
        <w:rPr>
          <w:rFonts w:ascii="Palatino Linotype" w:hAnsi="Palatino Linotype"/>
          <w:b/>
          <w:sz w:val="28"/>
          <w:szCs w:val="28"/>
        </w:rPr>
        <w:t xml:space="preserve"> Concept and</w:t>
      </w:r>
      <w:r w:rsidR="00080622" w:rsidRPr="000E65FB">
        <w:rPr>
          <w:rFonts w:ascii="Palatino Linotype" w:hAnsi="Palatino Linotype"/>
          <w:b/>
          <w:sz w:val="28"/>
          <w:szCs w:val="28"/>
        </w:rPr>
        <w:t xml:space="preserve"> Vision</w:t>
      </w:r>
    </w:p>
    <w:p w:rsidR="00636D53" w:rsidRPr="00FC1D97" w:rsidRDefault="00636D53" w:rsidP="00636D53">
      <w:pPr>
        <w:rPr>
          <w:b/>
        </w:rPr>
      </w:pPr>
    </w:p>
    <w:p w:rsidR="00636D53" w:rsidRPr="00C74CCB" w:rsidRDefault="00636D53" w:rsidP="00636D53">
      <w:pPr>
        <w:rPr>
          <w:rFonts w:ascii="Palatino Linotype" w:hAnsi="Palatino Linotype"/>
          <w:u w:val="single"/>
        </w:rPr>
      </w:pPr>
    </w:p>
    <w:p w:rsidR="00897655" w:rsidRDefault="00897655">
      <w:pPr>
        <w:spacing w:after="160" w:line="259" w:lineRule="auto"/>
      </w:pPr>
      <w:r>
        <w:br w:type="page"/>
      </w:r>
    </w:p>
    <w:p w:rsidR="00FD2083" w:rsidRPr="00080622" w:rsidRDefault="00080622" w:rsidP="00FD2083">
      <w:pPr>
        <w:spacing w:after="0" w:line="240" w:lineRule="auto"/>
        <w:rPr>
          <w:rFonts w:ascii="Palatino Linotype" w:hAnsi="Palatino Linotype"/>
          <w:b/>
          <w:sz w:val="28"/>
          <w:szCs w:val="28"/>
        </w:rPr>
      </w:pPr>
      <w:r w:rsidRPr="00080622">
        <w:rPr>
          <w:rFonts w:ascii="Palatino Linotype" w:hAnsi="Palatino Linotype" w:cs="Arial"/>
          <w:b/>
          <w:color w:val="222222"/>
          <w:sz w:val="28"/>
          <w:szCs w:val="28"/>
          <w:shd w:val="clear" w:color="auto" w:fill="FFFFFF"/>
        </w:rPr>
        <w:lastRenderedPageBreak/>
        <w:t>III.</w:t>
      </w:r>
      <w:r w:rsidR="00FD2083" w:rsidRPr="00080622">
        <w:rPr>
          <w:rFonts w:ascii="Palatino Linotype" w:hAnsi="Palatino Linotype" w:cs="Arial"/>
          <w:b/>
          <w:color w:val="222222"/>
          <w:sz w:val="28"/>
          <w:szCs w:val="28"/>
          <w:shd w:val="clear" w:color="auto" w:fill="FFFFFF"/>
        </w:rPr>
        <w:t xml:space="preserve"> </w:t>
      </w:r>
      <w:r w:rsidR="00FD2083" w:rsidRPr="00080622">
        <w:rPr>
          <w:rFonts w:ascii="Palatino Linotype" w:hAnsi="Palatino Linotype"/>
          <w:b/>
          <w:sz w:val="28"/>
          <w:szCs w:val="28"/>
        </w:rPr>
        <w:t>Portland’s Workforce Dynamics, 2004-2014</w:t>
      </w:r>
    </w:p>
    <w:p w:rsidR="00FC6EBD" w:rsidRDefault="00FC6EBD" w:rsidP="00FD2083">
      <w:pPr>
        <w:spacing w:after="0" w:line="240" w:lineRule="auto"/>
        <w:rPr>
          <w:rFonts w:ascii="Palatino Linotype" w:hAnsi="Palatino Linotype"/>
          <w:sz w:val="28"/>
          <w:szCs w:val="28"/>
        </w:rPr>
      </w:pPr>
    </w:p>
    <w:p w:rsidR="00FC6EBD" w:rsidRPr="00FC6EBD" w:rsidRDefault="00FC6EBD" w:rsidP="00FC6EBD">
      <w:pPr>
        <w:spacing w:after="0" w:line="240" w:lineRule="auto"/>
        <w:rPr>
          <w:rFonts w:ascii="Palatino Linotype" w:hAnsi="Palatino Linotype"/>
          <w:sz w:val="18"/>
          <w:szCs w:val="18"/>
        </w:rPr>
      </w:pPr>
      <w:r w:rsidRPr="00FC6EBD">
        <w:rPr>
          <w:rFonts w:ascii="Palatino Linotype" w:hAnsi="Palatino Linotype"/>
          <w:sz w:val="18"/>
          <w:szCs w:val="18"/>
        </w:rPr>
        <w:t>Data for this analysis come from the U.S. Census Bureau’s Local Employment Dynamics (LED</w:t>
      </w:r>
      <w:r w:rsidRPr="00FC6EBD">
        <w:rPr>
          <w:rFonts w:ascii="Palatino Linotype" w:hAnsi="Palatino Linotype"/>
          <w:i/>
          <w:sz w:val="18"/>
          <w:szCs w:val="18"/>
        </w:rPr>
        <w:t>) OnTheMap</w:t>
      </w:r>
      <w:r w:rsidRPr="00FC6EBD">
        <w:rPr>
          <w:rFonts w:ascii="Palatino Linotype" w:hAnsi="Palatino Linotype"/>
          <w:sz w:val="18"/>
          <w:szCs w:val="18"/>
        </w:rPr>
        <w:t xml:space="preserve"> Application.  This data set combines wage records submitted by employers to state labor agencies, reporting earning and employment for individual workers by firm and location.  The wage records are forwarded to the Census Bureau, where these are matched to data from the Social Security Administration that adds worker age, sex and residence information.  The resulting data set offers one of the most dynamic view of worker demographics, earnings, and mobility.  The data compilation and commentary are by John Dorrer, and the graphics, by Laura Yeitz of the Maine Center for Business &amp; Economic Research. </w:t>
      </w:r>
    </w:p>
    <w:p w:rsidR="00FC6EBD" w:rsidRPr="004E72E0" w:rsidRDefault="00FC6EBD" w:rsidP="00FD2083">
      <w:pPr>
        <w:spacing w:after="0" w:line="240" w:lineRule="auto"/>
        <w:rPr>
          <w:rFonts w:ascii="Palatino Linotype" w:hAnsi="Palatino Linotype"/>
          <w:sz w:val="28"/>
          <w:szCs w:val="28"/>
        </w:rPr>
      </w:pPr>
    </w:p>
    <w:p w:rsidR="00FD2083" w:rsidRPr="00631666" w:rsidRDefault="00FD2083" w:rsidP="00FD2083">
      <w:pPr>
        <w:spacing w:after="0" w:line="240" w:lineRule="auto"/>
        <w:rPr>
          <w:rFonts w:ascii="Palatino Linotype" w:hAnsi="Palatino Linotype"/>
        </w:rPr>
      </w:pPr>
      <w:r w:rsidRPr="00631666">
        <w:rPr>
          <w:rFonts w:ascii="Palatino Linotype" w:hAnsi="Palatino Linotype"/>
          <w:b/>
        </w:rPr>
        <w:t>1.</w:t>
      </w:r>
      <w:r>
        <w:rPr>
          <w:rFonts w:ascii="Palatino Linotype" w:hAnsi="Palatino Linotype"/>
        </w:rPr>
        <w:t xml:space="preserve"> </w:t>
      </w:r>
      <w:r w:rsidRPr="00631666">
        <w:rPr>
          <w:rFonts w:ascii="Palatino Linotype" w:hAnsi="Palatino Linotype"/>
          <w:b/>
        </w:rPr>
        <w:t>Recent</w:t>
      </w:r>
      <w:r>
        <w:rPr>
          <w:rFonts w:ascii="Palatino Linotype" w:hAnsi="Palatino Linotype"/>
        </w:rPr>
        <w:t xml:space="preserve"> </w:t>
      </w:r>
      <w:r w:rsidRPr="00EC28E4">
        <w:rPr>
          <w:rFonts w:ascii="Palatino Linotype" w:hAnsi="Palatino Linotype"/>
          <w:b/>
        </w:rPr>
        <w:t>Job Growth and Distribution</w:t>
      </w:r>
      <w:r>
        <w:rPr>
          <w:rFonts w:ascii="Palatino Linotype" w:hAnsi="Palatino Linotype"/>
          <w:b/>
        </w:rPr>
        <w:t>.</w:t>
      </w:r>
      <w:r w:rsidRPr="00631666">
        <w:rPr>
          <w:rFonts w:ascii="Palatino Linotype" w:hAnsi="Palatino Linotype"/>
        </w:rPr>
        <w:t xml:space="preserve"> The Great Recession left deep scars on the Maine economy, with a record of 30,000 jobs lost.  While the recession hit Portland and the metro region with significant job losses in 2008-2009, the region has now not only recovered those lost jobs but continues to add jobs in a tightening labor market.  Over the ten- year period 2004-14, the City of Portland added nearly 4,000 jobs, while the metro region added over 9,000.  Both Portland and region increased their share of all Maine jobs between 2004 and 2014.   As much of the State still struggles to absorb the loss of 5 major paper mills in 2 years, and rural communities face bleak prospects as natural resource-based industries continue to decline in employment, the Portland regional economy </w:t>
      </w:r>
      <w:r>
        <w:rPr>
          <w:rFonts w:ascii="Palatino Linotype" w:hAnsi="Palatino Linotype"/>
        </w:rPr>
        <w:t>is expected to continue to grow.</w:t>
      </w:r>
    </w:p>
    <w:p w:rsidR="00FD2083" w:rsidRDefault="00FD2083" w:rsidP="00FD2083">
      <w:pPr>
        <w:spacing w:after="0" w:line="240" w:lineRule="auto"/>
        <w:rPr>
          <w:rFonts w:ascii="Palatino Linotype" w:hAnsi="Palatino Linotype"/>
          <w:b/>
        </w:rPr>
      </w:pPr>
    </w:p>
    <w:p w:rsidR="00FD2083" w:rsidRPr="0048570E" w:rsidRDefault="00FD2083" w:rsidP="00FD2083">
      <w:pPr>
        <w:spacing w:after="0" w:line="240" w:lineRule="auto"/>
        <w:rPr>
          <w:rFonts w:ascii="Palatino Linotype" w:hAnsi="Palatino Linotype"/>
          <w:b/>
          <w:bCs/>
        </w:rPr>
      </w:pPr>
      <w:r>
        <w:rPr>
          <w:rFonts w:ascii="Palatino Linotype" w:hAnsi="Palatino Linotype"/>
          <w:b/>
          <w:bCs/>
        </w:rPr>
        <w:t>Figure</w:t>
      </w:r>
      <w:r w:rsidRPr="0048570E">
        <w:rPr>
          <w:rFonts w:ascii="Palatino Linotype" w:hAnsi="Palatino Linotype"/>
          <w:b/>
          <w:bCs/>
        </w:rPr>
        <w:t xml:space="preserve"> </w:t>
      </w:r>
      <w:r>
        <w:rPr>
          <w:rFonts w:ascii="Palatino Linotype" w:hAnsi="Palatino Linotype"/>
          <w:b/>
          <w:bCs/>
        </w:rPr>
        <w:t>1</w:t>
      </w:r>
      <w:r w:rsidRPr="0048570E">
        <w:rPr>
          <w:rFonts w:ascii="Palatino Linotype" w:hAnsi="Palatino Linotype"/>
          <w:b/>
          <w:bCs/>
        </w:rPr>
        <w:t>: Job Growth and Distribution</w:t>
      </w:r>
      <w:r w:rsidRPr="00EC28E4">
        <w:rPr>
          <w:rFonts w:ascii="Palatino Linotype" w:hAnsi="Palatino Linotype"/>
          <w:b/>
        </w:rPr>
        <w:t>,</w:t>
      </w:r>
      <w:r>
        <w:rPr>
          <w:rFonts w:ascii="Palatino Linotype" w:hAnsi="Palatino Linotype"/>
          <w:b/>
        </w:rPr>
        <w:t xml:space="preserve"> 2004-14:</w:t>
      </w:r>
      <w:r w:rsidRPr="00EC28E4">
        <w:rPr>
          <w:rFonts w:ascii="Palatino Linotype" w:hAnsi="Palatino Linotype"/>
          <w:b/>
        </w:rPr>
        <w:t xml:space="preserve"> </w:t>
      </w:r>
      <w:r w:rsidRPr="0048570E">
        <w:rPr>
          <w:rFonts w:ascii="Palatino Linotype" w:hAnsi="Palatino Linotype"/>
          <w:b/>
          <w:bCs/>
        </w:rPr>
        <w:t>Portland and Portland Metro relative to</w:t>
      </w:r>
      <w:r>
        <w:rPr>
          <w:rFonts w:ascii="Palatino Linotype" w:hAnsi="Palatino Linotype"/>
          <w:b/>
          <w:bCs/>
        </w:rPr>
        <w:t xml:space="preserve"> ME</w:t>
      </w: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4A171836" wp14:editId="7308990B">
            <wp:extent cx="3447028" cy="2646385"/>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7438"/>
                    <a:stretch/>
                  </pic:blipFill>
                  <pic:spPr bwMode="auto">
                    <a:xfrm>
                      <a:off x="0" y="0"/>
                      <a:ext cx="3495709" cy="2683759"/>
                    </a:xfrm>
                    <a:prstGeom prst="rect">
                      <a:avLst/>
                    </a:prstGeom>
                    <a:noFill/>
                    <a:ln>
                      <a:noFill/>
                    </a:ln>
                    <a:extLst>
                      <a:ext uri="{53640926-AAD7-44D8-BBD7-CCE9431645EC}">
                        <a14:shadowObscured xmlns:a14="http://schemas.microsoft.com/office/drawing/2010/main"/>
                      </a:ext>
                    </a:extLst>
                  </pic:spPr>
                </pic:pic>
              </a:graphicData>
            </a:graphic>
          </wp:inline>
        </w:drawing>
      </w: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sidRPr="00EC28E4">
        <w:rPr>
          <w:rFonts w:ascii="Palatino Linotype" w:hAnsi="Palatino Linotype"/>
          <w:b/>
        </w:rPr>
        <w:t>Table 1: Job Growth and Distribution,</w:t>
      </w:r>
      <w:r>
        <w:rPr>
          <w:rFonts w:ascii="Palatino Linotype" w:hAnsi="Palatino Linotype"/>
          <w:b/>
        </w:rPr>
        <w:t xml:space="preserve"> 2004-14:</w:t>
      </w:r>
      <w:r w:rsidRPr="00EC28E4">
        <w:rPr>
          <w:rFonts w:ascii="Palatino Linotype" w:hAnsi="Palatino Linotype"/>
          <w:b/>
        </w:rPr>
        <w:t xml:space="preserve"> Portla</w:t>
      </w:r>
      <w:r>
        <w:rPr>
          <w:rFonts w:ascii="Palatino Linotype" w:hAnsi="Palatino Linotype"/>
          <w:b/>
        </w:rPr>
        <w:t xml:space="preserve">nd, Portland Metro, and </w:t>
      </w:r>
      <w:r w:rsidRPr="00EC28E4">
        <w:rPr>
          <w:rFonts w:ascii="Palatino Linotype" w:hAnsi="Palatino Linotype"/>
          <w:b/>
        </w:rPr>
        <w:t>Maine</w:t>
      </w:r>
    </w:p>
    <w:p w:rsidR="00FD2083" w:rsidRPr="00D02D8B" w:rsidRDefault="00FD2083" w:rsidP="00FD2083">
      <w:pPr>
        <w:spacing w:after="0" w:line="240" w:lineRule="auto"/>
        <w:rPr>
          <w:rFonts w:ascii="Palatino Linotype" w:hAnsi="Palatino Linotype"/>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341"/>
        <w:gridCol w:w="1260"/>
        <w:gridCol w:w="1260"/>
        <w:gridCol w:w="1170"/>
        <w:gridCol w:w="1260"/>
      </w:tblGrid>
      <w:tr w:rsidR="00FD2083" w:rsidRPr="00EC28E4" w:rsidTr="00F2661C">
        <w:trPr>
          <w:trHeight w:val="350"/>
        </w:trPr>
        <w:tc>
          <w:tcPr>
            <w:tcW w:w="1809"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Location</w:t>
            </w:r>
          </w:p>
        </w:tc>
        <w:tc>
          <w:tcPr>
            <w:tcW w:w="2601"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2004</w:t>
            </w:r>
          </w:p>
        </w:tc>
        <w:tc>
          <w:tcPr>
            <w:tcW w:w="243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2014</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 xml:space="preserve">Change </w:t>
            </w:r>
          </w:p>
        </w:tc>
      </w:tr>
      <w:tr w:rsidR="00FD2083" w:rsidRPr="00EC28E4" w:rsidTr="00F2661C">
        <w:trPr>
          <w:trHeight w:val="332"/>
        </w:trPr>
        <w:tc>
          <w:tcPr>
            <w:tcW w:w="1809" w:type="dxa"/>
          </w:tcPr>
          <w:p w:rsidR="00FD2083" w:rsidRPr="00EC28E4" w:rsidRDefault="00FD2083" w:rsidP="00F2661C">
            <w:pPr>
              <w:spacing w:after="0" w:line="240" w:lineRule="auto"/>
              <w:rPr>
                <w:rFonts w:ascii="Palatino Linotype" w:hAnsi="Palatino Linotype"/>
              </w:rPr>
            </w:pPr>
          </w:p>
        </w:tc>
        <w:tc>
          <w:tcPr>
            <w:tcW w:w="1341"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 xml:space="preserve">Share </w:t>
            </w:r>
          </w:p>
        </w:tc>
        <w:tc>
          <w:tcPr>
            <w:tcW w:w="1260" w:type="dxa"/>
          </w:tcPr>
          <w:p w:rsidR="00FD2083" w:rsidRPr="00EC28E4" w:rsidRDefault="00FD2083" w:rsidP="00F2661C">
            <w:pPr>
              <w:spacing w:after="0" w:line="240" w:lineRule="auto"/>
              <w:jc w:val="center"/>
              <w:rPr>
                <w:rFonts w:ascii="Palatino Linotype" w:hAnsi="Palatino Linotype"/>
              </w:rPr>
            </w:pPr>
            <w:r>
              <w:rPr>
                <w:rFonts w:ascii="Palatino Linotype" w:hAnsi="Palatino Linotype"/>
              </w:rPr>
              <w:t>Number</w:t>
            </w:r>
          </w:p>
        </w:tc>
      </w:tr>
      <w:tr w:rsidR="00FD2083" w:rsidRPr="00EC28E4" w:rsidTr="00F2661C">
        <w:trPr>
          <w:trHeight w:val="359"/>
        </w:trPr>
        <w:tc>
          <w:tcPr>
            <w:tcW w:w="1809" w:type="dxa"/>
          </w:tcPr>
          <w:p w:rsidR="00FD2083" w:rsidRPr="00EC28E4" w:rsidRDefault="00FD2083" w:rsidP="00F2661C">
            <w:pPr>
              <w:spacing w:after="0" w:line="240" w:lineRule="auto"/>
              <w:rPr>
                <w:rFonts w:ascii="Palatino Linotype" w:hAnsi="Palatino Linotype"/>
              </w:rPr>
            </w:pPr>
            <w:r>
              <w:rPr>
                <w:rFonts w:ascii="Palatino Linotype" w:hAnsi="Palatino Linotype"/>
              </w:rPr>
              <w:t>Portland</w:t>
            </w:r>
            <w:r w:rsidRPr="00EC28E4">
              <w:rPr>
                <w:rFonts w:ascii="Palatino Linotype" w:hAnsi="Palatino Linotype"/>
              </w:rPr>
              <w:t xml:space="preserve"> City</w:t>
            </w:r>
          </w:p>
        </w:tc>
        <w:tc>
          <w:tcPr>
            <w:tcW w:w="1341"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63,791</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11.2</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67,648</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11.9</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3857</w:t>
            </w:r>
          </w:p>
        </w:tc>
      </w:tr>
      <w:tr w:rsidR="00FD2083" w:rsidRPr="00EC28E4" w:rsidTr="00F2661C">
        <w:trPr>
          <w:trHeight w:val="332"/>
        </w:trPr>
        <w:tc>
          <w:tcPr>
            <w:tcW w:w="1809" w:type="dxa"/>
          </w:tcPr>
          <w:p w:rsidR="00FD2083" w:rsidRPr="00EC28E4" w:rsidRDefault="00FD2083" w:rsidP="00F2661C">
            <w:pPr>
              <w:spacing w:after="0" w:line="240" w:lineRule="auto"/>
              <w:rPr>
                <w:rFonts w:ascii="Palatino Linotype" w:hAnsi="Palatino Linotype"/>
              </w:rPr>
            </w:pPr>
            <w:r>
              <w:rPr>
                <w:rFonts w:ascii="Palatino Linotype" w:hAnsi="Palatino Linotype"/>
              </w:rPr>
              <w:t>Portland</w:t>
            </w:r>
            <w:r w:rsidRPr="00EC28E4">
              <w:rPr>
                <w:rFonts w:ascii="Palatino Linotype" w:hAnsi="Palatino Linotype"/>
              </w:rPr>
              <w:t xml:space="preserve"> Metro</w:t>
            </w:r>
          </w:p>
        </w:tc>
        <w:tc>
          <w:tcPr>
            <w:tcW w:w="1341"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182,244</w:t>
            </w:r>
          </w:p>
        </w:tc>
        <w:tc>
          <w:tcPr>
            <w:tcW w:w="1260" w:type="dxa"/>
          </w:tcPr>
          <w:p w:rsidR="00FD2083" w:rsidRPr="00EC28E4" w:rsidRDefault="00FD2083" w:rsidP="00F2661C">
            <w:pPr>
              <w:spacing w:after="0" w:line="240" w:lineRule="auto"/>
              <w:jc w:val="center"/>
              <w:rPr>
                <w:rFonts w:ascii="Palatino Linotype" w:hAnsi="Palatino Linotype"/>
              </w:rPr>
            </w:pPr>
            <w:r>
              <w:rPr>
                <w:rFonts w:ascii="Palatino Linotype" w:hAnsi="Palatino Linotype"/>
              </w:rPr>
              <w:t>32%</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191,405</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33.6</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9161</w:t>
            </w:r>
          </w:p>
        </w:tc>
      </w:tr>
      <w:tr w:rsidR="00FD2083" w:rsidRPr="00EC28E4" w:rsidTr="00F2661C">
        <w:trPr>
          <w:trHeight w:val="350"/>
        </w:trPr>
        <w:tc>
          <w:tcPr>
            <w:tcW w:w="1809"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Maine</w:t>
            </w:r>
          </w:p>
        </w:tc>
        <w:tc>
          <w:tcPr>
            <w:tcW w:w="1341"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568,746</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100</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570,417</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100</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1671</w:t>
            </w:r>
          </w:p>
        </w:tc>
      </w:tr>
    </w:tbl>
    <w:p w:rsidR="00FD2083" w:rsidRDefault="00FD2083" w:rsidP="00FD2083">
      <w:pPr>
        <w:spacing w:after="0" w:line="240" w:lineRule="auto"/>
        <w:rPr>
          <w:rFonts w:ascii="Palatino Linotype" w:hAnsi="Palatino Linotype"/>
          <w:b/>
        </w:rPr>
      </w:pPr>
      <w:r>
        <w:rPr>
          <w:rFonts w:ascii="Palatino Linotype" w:hAnsi="Palatino Linotype"/>
          <w:b/>
        </w:rPr>
        <w:lastRenderedPageBreak/>
        <w:t xml:space="preserve">2. </w:t>
      </w:r>
      <w:r w:rsidRPr="00EC28E4">
        <w:rPr>
          <w:rFonts w:ascii="Palatino Linotype" w:hAnsi="Palatino Linotype"/>
          <w:b/>
        </w:rPr>
        <w:t xml:space="preserve">Portland’s Workforce: Commuters and Residents. </w:t>
      </w:r>
      <w:r w:rsidRPr="00EC28E4">
        <w:rPr>
          <w:rFonts w:ascii="Palatino Linotype" w:hAnsi="Palatino Linotype"/>
        </w:rPr>
        <w:t xml:space="preserve">With the number of jobs within Portland increasing, we look to where workers come from.  The </w:t>
      </w:r>
      <w:r>
        <w:rPr>
          <w:rFonts w:ascii="Palatino Linotype" w:hAnsi="Palatino Linotype"/>
        </w:rPr>
        <w:t>number of workers reporting both</w:t>
      </w:r>
      <w:r w:rsidRPr="00EC28E4">
        <w:rPr>
          <w:rFonts w:ascii="Palatino Linotype" w:hAnsi="Palatino Linotype"/>
          <w:b/>
        </w:rPr>
        <w:t xml:space="preserve"> </w:t>
      </w:r>
      <w:r w:rsidRPr="00EC28E4">
        <w:rPr>
          <w:rFonts w:ascii="Palatino Linotype" w:hAnsi="Palatino Linotype"/>
        </w:rPr>
        <w:t>working and living in Portland declined by 1232 between 2004 and 2014.  Workers living in</w:t>
      </w:r>
    </w:p>
    <w:p w:rsidR="00FD2083" w:rsidRPr="000425D2" w:rsidRDefault="00FD2083" w:rsidP="00FD2083">
      <w:pPr>
        <w:spacing w:after="0" w:line="240" w:lineRule="auto"/>
        <w:rPr>
          <w:rFonts w:ascii="Palatino Linotype" w:hAnsi="Palatino Linotype"/>
        </w:rPr>
      </w:pPr>
      <w:r w:rsidRPr="00EC28E4">
        <w:rPr>
          <w:rFonts w:ascii="Palatino Linotype" w:hAnsi="Palatino Linotype"/>
        </w:rPr>
        <w:t xml:space="preserve">Portland but commuting to jobs outside the city also decreased by nearly 1,000 during this period.  Commuters who come from outside the city limits and are employed in Portland increased by over 5,000 between 2004 and 2014.  </w:t>
      </w: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Pr>
          <w:rFonts w:ascii="Palatino Linotype" w:hAnsi="Palatino Linotype"/>
          <w:b/>
        </w:rPr>
        <w:t xml:space="preserve">Table </w:t>
      </w:r>
      <w:r w:rsidRPr="00EC28E4">
        <w:rPr>
          <w:rFonts w:ascii="Palatino Linotype" w:hAnsi="Palatino Linotype"/>
          <w:b/>
        </w:rPr>
        <w:t>2:  Changes in Commuters a</w:t>
      </w:r>
      <w:r>
        <w:rPr>
          <w:rFonts w:ascii="Palatino Linotype" w:hAnsi="Palatino Linotype"/>
          <w:b/>
        </w:rPr>
        <w:t>nd the Resident Workforce, 2004</w:t>
      </w:r>
      <w:r w:rsidRPr="00EC28E4">
        <w:rPr>
          <w:rFonts w:ascii="Palatino Linotype" w:hAnsi="Palatino Linotype"/>
          <w:b/>
        </w:rPr>
        <w:t>-14</w:t>
      </w:r>
    </w:p>
    <w:p w:rsidR="00FD2083" w:rsidRDefault="00FD2083" w:rsidP="00FD2083">
      <w:pPr>
        <w:spacing w:after="0" w:line="240" w:lineRule="auto"/>
        <w:rPr>
          <w:rFonts w:ascii="Palatino Linotype" w:hAnsi="Palatino Linotype"/>
          <w:b/>
        </w:rPr>
      </w:pPr>
    </w:p>
    <w:tbl>
      <w:tblPr>
        <w:tblpPr w:leftFromText="180" w:rightFromText="180" w:vertAnchor="page" w:horzAnchor="margin" w:tblpY="411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1080"/>
        <w:gridCol w:w="1260"/>
        <w:gridCol w:w="1260"/>
        <w:gridCol w:w="1260"/>
        <w:gridCol w:w="1260"/>
      </w:tblGrid>
      <w:tr w:rsidR="00FD2083" w:rsidRPr="00EC28E4" w:rsidTr="00F2661C">
        <w:trPr>
          <w:trHeight w:val="323"/>
        </w:trPr>
        <w:tc>
          <w:tcPr>
            <w:tcW w:w="3150" w:type="dxa"/>
          </w:tcPr>
          <w:p w:rsidR="00FD2083" w:rsidRPr="00EC28E4" w:rsidRDefault="00FD2083" w:rsidP="00F2661C">
            <w:pPr>
              <w:spacing w:after="0" w:line="240" w:lineRule="auto"/>
              <w:rPr>
                <w:rFonts w:ascii="Palatino Linotype" w:hAnsi="Palatino Linotype"/>
              </w:rPr>
            </w:pPr>
          </w:p>
        </w:tc>
        <w:tc>
          <w:tcPr>
            <w:tcW w:w="234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2004</w:t>
            </w:r>
          </w:p>
        </w:tc>
        <w:tc>
          <w:tcPr>
            <w:tcW w:w="252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2014</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 xml:space="preserve">Change </w:t>
            </w:r>
          </w:p>
        </w:tc>
      </w:tr>
      <w:tr w:rsidR="00FD2083" w:rsidRPr="00EC28E4" w:rsidTr="00F2661C">
        <w:trPr>
          <w:trHeight w:val="323"/>
        </w:trPr>
        <w:tc>
          <w:tcPr>
            <w:tcW w:w="3150" w:type="dxa"/>
          </w:tcPr>
          <w:p w:rsidR="00FD2083" w:rsidRPr="00EC28E4" w:rsidRDefault="00FD2083" w:rsidP="00F2661C">
            <w:pPr>
              <w:spacing w:after="0" w:line="240" w:lineRule="auto"/>
              <w:rPr>
                <w:rFonts w:ascii="Palatino Linotype" w:hAnsi="Palatino Linotype"/>
              </w:rPr>
            </w:pPr>
          </w:p>
        </w:tc>
        <w:tc>
          <w:tcPr>
            <w:tcW w:w="2340" w:type="dxa"/>
            <w:gridSpan w:val="2"/>
          </w:tcPr>
          <w:p w:rsidR="00FD2083" w:rsidRPr="00EC28E4" w:rsidRDefault="00FD2083" w:rsidP="00F2661C">
            <w:pPr>
              <w:spacing w:after="0" w:line="240" w:lineRule="auto"/>
              <w:jc w:val="center"/>
              <w:rPr>
                <w:rFonts w:ascii="Palatino Linotype" w:hAnsi="Palatino Linotype"/>
              </w:rPr>
            </w:pPr>
          </w:p>
        </w:tc>
        <w:tc>
          <w:tcPr>
            <w:tcW w:w="2520" w:type="dxa"/>
            <w:gridSpan w:val="2"/>
          </w:tcPr>
          <w:p w:rsidR="00FD2083" w:rsidRPr="00EC28E4" w:rsidRDefault="00FD2083" w:rsidP="00F2661C">
            <w:pPr>
              <w:spacing w:after="0" w:line="240" w:lineRule="auto"/>
              <w:jc w:val="center"/>
              <w:rPr>
                <w:rFonts w:ascii="Palatino Linotype" w:hAnsi="Palatino Linotype"/>
              </w:rPr>
            </w:pPr>
          </w:p>
        </w:tc>
        <w:tc>
          <w:tcPr>
            <w:tcW w:w="1260" w:type="dxa"/>
          </w:tcPr>
          <w:p w:rsidR="00FD2083" w:rsidRPr="00EC28E4" w:rsidRDefault="00FD2083" w:rsidP="00F2661C">
            <w:pPr>
              <w:spacing w:after="0" w:line="240" w:lineRule="auto"/>
              <w:jc w:val="center"/>
              <w:rPr>
                <w:rFonts w:ascii="Palatino Linotype" w:hAnsi="Palatino Linotype"/>
              </w:rPr>
            </w:pPr>
          </w:p>
        </w:tc>
      </w:tr>
      <w:tr w:rsidR="00FD2083" w:rsidRPr="00EC28E4" w:rsidTr="00F2661C">
        <w:trPr>
          <w:trHeight w:val="260"/>
        </w:trPr>
        <w:tc>
          <w:tcPr>
            <w:tcW w:w="3150" w:type="dxa"/>
          </w:tcPr>
          <w:p w:rsidR="00FD2083" w:rsidRPr="00EC28E4" w:rsidRDefault="00FD2083" w:rsidP="00F2661C">
            <w:pPr>
              <w:spacing w:after="0" w:line="240" w:lineRule="auto"/>
              <w:jc w:val="center"/>
              <w:rPr>
                <w:rFonts w:ascii="Palatino Linotype" w:hAnsi="Palatino Linotype"/>
              </w:rPr>
            </w:pPr>
          </w:p>
        </w:tc>
        <w:tc>
          <w:tcPr>
            <w:tcW w:w="108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r>
      <w:tr w:rsidR="00FD2083" w:rsidRPr="00EC28E4" w:rsidTr="00F2661C">
        <w:trPr>
          <w:trHeight w:val="575"/>
        </w:trPr>
        <w:tc>
          <w:tcPr>
            <w:tcW w:w="315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Employed and Residing in Portland</w:t>
            </w:r>
          </w:p>
        </w:tc>
        <w:tc>
          <w:tcPr>
            <w:tcW w:w="108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18,354</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28.8</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17,122</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25.3</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-1232</w:t>
            </w:r>
          </w:p>
        </w:tc>
      </w:tr>
      <w:tr w:rsidR="00FD2083" w:rsidRPr="00EC28E4" w:rsidTr="00F2661C">
        <w:trPr>
          <w:trHeight w:val="665"/>
        </w:trPr>
        <w:tc>
          <w:tcPr>
            <w:tcW w:w="315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Residing in Portland and Employed Outside the City</w:t>
            </w:r>
          </w:p>
        </w:tc>
        <w:tc>
          <w:tcPr>
            <w:tcW w:w="108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17,303</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27.1</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16,327</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24.1</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-976</w:t>
            </w:r>
          </w:p>
        </w:tc>
      </w:tr>
      <w:tr w:rsidR="00FD2083" w:rsidRPr="00EC28E4" w:rsidTr="00F2661C">
        <w:trPr>
          <w:trHeight w:val="740"/>
        </w:trPr>
        <w:tc>
          <w:tcPr>
            <w:tcW w:w="315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Employed in Portland, Commuting from Outside of the City</w:t>
            </w:r>
          </w:p>
        </w:tc>
        <w:tc>
          <w:tcPr>
            <w:tcW w:w="108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45,437</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71.2</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50,526</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74.7</w:t>
            </w:r>
            <w:r>
              <w:rPr>
                <w:rFonts w:ascii="Palatino Linotype" w:hAnsi="Palatino Linotype"/>
              </w:rPr>
              <w:t>%</w:t>
            </w:r>
          </w:p>
        </w:tc>
        <w:tc>
          <w:tcPr>
            <w:tcW w:w="126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5089</w:t>
            </w:r>
          </w:p>
        </w:tc>
      </w:tr>
    </w:tbl>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Figure</w:t>
      </w:r>
      <w:r w:rsidRPr="00EC28E4">
        <w:rPr>
          <w:rFonts w:ascii="Palatino Linotype" w:hAnsi="Palatino Linotype"/>
          <w:b/>
        </w:rPr>
        <w:t xml:space="preserve"> </w:t>
      </w:r>
      <w:r>
        <w:rPr>
          <w:rFonts w:ascii="Palatino Linotype" w:hAnsi="Palatino Linotype"/>
          <w:b/>
        </w:rPr>
        <w:t>2A</w:t>
      </w:r>
      <w:r w:rsidRPr="00EC28E4">
        <w:rPr>
          <w:rFonts w:ascii="Palatino Linotype" w:hAnsi="Palatino Linotype"/>
          <w:b/>
        </w:rPr>
        <w:t xml:space="preserve">:  Changes in Commuters and </w:t>
      </w:r>
      <w:r>
        <w:rPr>
          <w:rFonts w:ascii="Palatino Linotype" w:hAnsi="Palatino Linotype"/>
          <w:b/>
        </w:rPr>
        <w:t>the Resident Workforce, 2004-</w:t>
      </w:r>
      <w:r w:rsidRPr="00EC28E4">
        <w:rPr>
          <w:rFonts w:ascii="Palatino Linotype" w:hAnsi="Palatino Linotype"/>
          <w:b/>
        </w:rPr>
        <w:t>14</w:t>
      </w:r>
    </w:p>
    <w:p w:rsidR="00FD2083" w:rsidRPr="00EC28E4" w:rsidRDefault="00FD2083" w:rsidP="00FD2083">
      <w:pPr>
        <w:spacing w:after="0" w:line="240" w:lineRule="auto"/>
        <w:jc w:val="center"/>
        <w:rPr>
          <w:rFonts w:ascii="Palatino Linotype" w:hAnsi="Palatino Linotype"/>
          <w:b/>
          <w:sz w:val="18"/>
          <w:szCs w:val="18"/>
        </w:rPr>
      </w:pPr>
      <w:r>
        <w:rPr>
          <w:rFonts w:ascii="Palatino Linotype" w:hAnsi="Palatino Linotype"/>
          <w:b/>
          <w:noProof/>
          <w:sz w:val="18"/>
          <w:szCs w:val="18"/>
        </w:rPr>
        <w:drawing>
          <wp:inline distT="0" distB="0" distL="0" distR="0" wp14:anchorId="2BE43B80" wp14:editId="6DCB64C1">
            <wp:extent cx="3923665" cy="3555762"/>
            <wp:effectExtent l="0" t="0" r="63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0688" cy="3571189"/>
                    </a:xfrm>
                    <a:prstGeom prst="rect">
                      <a:avLst/>
                    </a:prstGeom>
                    <a:noFill/>
                  </pic:spPr>
                </pic:pic>
              </a:graphicData>
            </a:graphic>
          </wp:inline>
        </w:drawing>
      </w:r>
    </w:p>
    <w:p w:rsidR="00FD2083" w:rsidRDefault="00FD2083" w:rsidP="00FD2083">
      <w:pPr>
        <w:spacing w:after="0" w:line="240" w:lineRule="auto"/>
        <w:jc w:val="center"/>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Pr>
          <w:rFonts w:ascii="Palatino Linotype" w:hAnsi="Palatino Linotype"/>
          <w:b/>
        </w:rPr>
        <w:t>Figure 2B: Share of Commuters and Resident Workforce, 2014</w:t>
      </w: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2EE5365A" wp14:editId="2A62E673">
            <wp:extent cx="3438525" cy="3023656"/>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6637" cy="3030789"/>
                    </a:xfrm>
                    <a:prstGeom prst="rect">
                      <a:avLst/>
                    </a:prstGeom>
                    <a:noFill/>
                  </pic:spPr>
                </pic:pic>
              </a:graphicData>
            </a:graphic>
          </wp:inline>
        </w:drawing>
      </w:r>
    </w:p>
    <w:p w:rsidR="00FD2083" w:rsidRDefault="00FD2083" w:rsidP="00FD2083">
      <w:pPr>
        <w:spacing w:after="0" w:line="240" w:lineRule="auto"/>
        <w:jc w:val="center"/>
        <w:rPr>
          <w:rFonts w:ascii="Palatino Linotype" w:hAnsi="Palatino Linotype"/>
          <w:b/>
        </w:rPr>
      </w:pPr>
    </w:p>
    <w:p w:rsidR="00FD2083" w:rsidRDefault="00FD2083" w:rsidP="00FD2083">
      <w:pPr>
        <w:spacing w:after="0" w:line="240" w:lineRule="auto"/>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 xml:space="preserve">3. </w:t>
      </w:r>
      <w:r w:rsidRPr="00EC28E4">
        <w:rPr>
          <w:rFonts w:ascii="Palatino Linotype" w:hAnsi="Palatino Linotype"/>
          <w:b/>
        </w:rPr>
        <w:t xml:space="preserve">Age Distribution of Portland’s Workforce. </w:t>
      </w:r>
      <w:r w:rsidRPr="00EC28E4">
        <w:rPr>
          <w:rFonts w:ascii="Palatino Linotype" w:hAnsi="Palatino Linotype"/>
        </w:rPr>
        <w:t xml:space="preserve">Like Maine’s as a whole, Portland’s workforce is aging.  Over the ten- year period 2004-14, workers age 55+ increased by 6317, and those 29 and under decreased by 862.  Worker in the middle age group, 30-54, also declined by over 1400.   In 2014, nearly one quarter of Portland’s workforce was age 55 or over, and with each passing year this number will continue to increase with the aging of the baby boomers.  </w:t>
      </w:r>
    </w:p>
    <w:p w:rsidR="00FD2083" w:rsidRPr="00EC28E4" w:rsidRDefault="00FD2083" w:rsidP="00FD2083">
      <w:pPr>
        <w:spacing w:after="0" w:line="240" w:lineRule="auto"/>
        <w:rPr>
          <w:rFonts w:ascii="Palatino Linotype" w:hAnsi="Palatino Linotype"/>
        </w:rPr>
      </w:pPr>
      <w:r w:rsidRPr="00EC28E4">
        <w:rPr>
          <w:rFonts w:ascii="Palatino Linotype" w:hAnsi="Palatino Linotype"/>
        </w:rPr>
        <w:t xml:space="preserve">While there remains some uncertainty about the ages when workers will actually retire, data from the Social Security Administration indicate that about 40% of Social Security eligible workers apply for benefits at age 62.  On the other hand, the percentage of U.S. men age 65 and over who are working has grown from 15 to 22 percent over last 20 years. The data suggests that Portland’s employers will face significant retirements over the next 10 years, along with formidable challenges to either replace or adapt to older workers.  </w:t>
      </w:r>
    </w:p>
    <w:p w:rsidR="00FD2083" w:rsidRPr="00EC28E4"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sidRPr="00EC28E4">
        <w:rPr>
          <w:rFonts w:ascii="Palatino Linotype" w:hAnsi="Palatino Linotype"/>
          <w:b/>
        </w:rPr>
        <w:t>Table 3:  Change in Age Distribution of Portland’s Workforce, 2004 -14</w:t>
      </w:r>
    </w:p>
    <w:p w:rsidR="00FD2083" w:rsidRPr="00EC28E4" w:rsidRDefault="00FD2083" w:rsidP="00FD2083">
      <w:pPr>
        <w:spacing w:after="0" w:line="240" w:lineRule="auto"/>
        <w:rPr>
          <w:rFonts w:ascii="Palatino Linotype" w:hAnsi="Palatino Linoty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170"/>
        <w:gridCol w:w="990"/>
        <w:gridCol w:w="1170"/>
        <w:gridCol w:w="990"/>
        <w:gridCol w:w="1040"/>
      </w:tblGrid>
      <w:tr w:rsidR="00FD2083" w:rsidRPr="00EC28E4" w:rsidTr="00F2661C">
        <w:trPr>
          <w:trHeight w:val="323"/>
        </w:trPr>
        <w:tc>
          <w:tcPr>
            <w:tcW w:w="3487"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Age Cohort</w:t>
            </w:r>
          </w:p>
        </w:tc>
        <w:tc>
          <w:tcPr>
            <w:tcW w:w="216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2004</w:t>
            </w:r>
          </w:p>
        </w:tc>
        <w:tc>
          <w:tcPr>
            <w:tcW w:w="216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2014</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Change</w:t>
            </w:r>
          </w:p>
        </w:tc>
      </w:tr>
      <w:tr w:rsidR="00FD2083" w:rsidRPr="00EC28E4" w:rsidTr="00F2661C">
        <w:trPr>
          <w:trHeight w:val="350"/>
        </w:trPr>
        <w:tc>
          <w:tcPr>
            <w:tcW w:w="3487" w:type="dxa"/>
          </w:tcPr>
          <w:p w:rsidR="00FD2083" w:rsidRPr="00EC28E4" w:rsidRDefault="00FD2083" w:rsidP="00F2661C">
            <w:pPr>
              <w:spacing w:after="0" w:line="240" w:lineRule="auto"/>
              <w:rPr>
                <w:rFonts w:ascii="Palatino Linotype" w:hAnsi="Palatino Linotype"/>
              </w:rPr>
            </w:pPr>
          </w:p>
        </w:tc>
        <w:tc>
          <w:tcPr>
            <w:tcW w:w="117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Number</w:t>
            </w:r>
          </w:p>
        </w:tc>
        <w:tc>
          <w:tcPr>
            <w:tcW w:w="99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Share</w:t>
            </w:r>
          </w:p>
        </w:tc>
        <w:tc>
          <w:tcPr>
            <w:tcW w:w="117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Number</w:t>
            </w:r>
          </w:p>
        </w:tc>
        <w:tc>
          <w:tcPr>
            <w:tcW w:w="99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Share</w:t>
            </w:r>
          </w:p>
        </w:tc>
        <w:tc>
          <w:tcPr>
            <w:tcW w:w="99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Number</w:t>
            </w:r>
          </w:p>
        </w:tc>
      </w:tr>
      <w:tr w:rsidR="00FD2083" w:rsidRPr="00EC28E4" w:rsidTr="00F2661C">
        <w:trPr>
          <w:trHeight w:val="350"/>
        </w:trPr>
        <w:tc>
          <w:tcPr>
            <w:tcW w:w="348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Workers Aged 29 or Younger</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14,441</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22.6</w:t>
            </w:r>
            <w:r>
              <w:rPr>
                <w:rFonts w:ascii="Palatino Linotype" w:hAnsi="Palatino Linotype"/>
              </w:rPr>
              <w:t>%</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13,579</w:t>
            </w:r>
          </w:p>
        </w:tc>
        <w:tc>
          <w:tcPr>
            <w:tcW w:w="99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20.1</w:t>
            </w:r>
            <w:r>
              <w:rPr>
                <w:rFonts w:ascii="Palatino Linotype" w:hAnsi="Palatino Linotype"/>
              </w:rPr>
              <w:t>%</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-862</w:t>
            </w:r>
          </w:p>
        </w:tc>
      </w:tr>
      <w:tr w:rsidR="00FD2083" w:rsidRPr="00EC28E4" w:rsidTr="00F2661C">
        <w:trPr>
          <w:trHeight w:val="350"/>
        </w:trPr>
        <w:tc>
          <w:tcPr>
            <w:tcW w:w="348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Workers Aged 30-54</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39,354</w:t>
            </w:r>
          </w:p>
        </w:tc>
        <w:tc>
          <w:tcPr>
            <w:tcW w:w="990" w:type="dxa"/>
          </w:tcPr>
          <w:p w:rsidR="00FD2083" w:rsidRPr="00EC28E4" w:rsidRDefault="00FD2083" w:rsidP="00F2661C">
            <w:pPr>
              <w:spacing w:after="0" w:line="240" w:lineRule="auto"/>
              <w:jc w:val="center"/>
              <w:rPr>
                <w:rFonts w:ascii="Palatino Linotype" w:hAnsi="Palatino Linotype"/>
              </w:rPr>
            </w:pPr>
            <w:r>
              <w:rPr>
                <w:rFonts w:ascii="Palatino Linotype" w:hAnsi="Palatino Linotype"/>
              </w:rPr>
              <w:t>62%</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37,945</w:t>
            </w:r>
          </w:p>
        </w:tc>
        <w:tc>
          <w:tcPr>
            <w:tcW w:w="99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56.1</w:t>
            </w:r>
            <w:r>
              <w:rPr>
                <w:rFonts w:ascii="Palatino Linotype" w:hAnsi="Palatino Linotype"/>
              </w:rPr>
              <w:t>%</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-1409</w:t>
            </w:r>
          </w:p>
        </w:tc>
      </w:tr>
      <w:tr w:rsidR="00FD2083" w:rsidRPr="00EC28E4" w:rsidTr="00F2661C">
        <w:trPr>
          <w:trHeight w:val="350"/>
        </w:trPr>
        <w:tc>
          <w:tcPr>
            <w:tcW w:w="348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Workers Aged 55 or Older</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9,807</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15.4</w:t>
            </w:r>
            <w:r>
              <w:rPr>
                <w:rFonts w:ascii="Palatino Linotype" w:hAnsi="Palatino Linotype"/>
              </w:rPr>
              <w:t>%</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16,124</w:t>
            </w:r>
          </w:p>
        </w:tc>
        <w:tc>
          <w:tcPr>
            <w:tcW w:w="99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23.8</w:t>
            </w:r>
            <w:r>
              <w:rPr>
                <w:rFonts w:ascii="Palatino Linotype" w:hAnsi="Palatino Linotype"/>
              </w:rPr>
              <w:t>%</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6317</w:t>
            </w:r>
          </w:p>
        </w:tc>
      </w:tr>
    </w:tbl>
    <w:p w:rsidR="00FD2083" w:rsidRPr="00EC28E4" w:rsidRDefault="00FD2083" w:rsidP="00FD2083">
      <w:pPr>
        <w:spacing w:after="0" w:line="240" w:lineRule="auto"/>
        <w:rPr>
          <w:rFonts w:ascii="Palatino Linotype" w:hAnsi="Palatino Linotype"/>
          <w:b/>
          <w:sz w:val="18"/>
          <w:szCs w:val="18"/>
        </w:rPr>
      </w:pPr>
    </w:p>
    <w:p w:rsidR="00FD2083" w:rsidRDefault="00FD2083" w:rsidP="00FD2083">
      <w:pPr>
        <w:spacing w:after="0" w:line="240" w:lineRule="auto"/>
        <w:rPr>
          <w:rFonts w:ascii="Palatino Linotype" w:eastAsia="Times New Roman" w:hAnsi="Palatino Linotype" w:cs="Times New Roman"/>
          <w:b/>
          <w:bCs/>
          <w:color w:val="000000"/>
        </w:rPr>
      </w:pPr>
    </w:p>
    <w:p w:rsidR="00FD2083" w:rsidRDefault="00FD2083" w:rsidP="00FD2083">
      <w:pPr>
        <w:spacing w:after="0" w:line="240" w:lineRule="auto"/>
        <w:rPr>
          <w:rFonts w:ascii="Palatino Linotype" w:eastAsia="Times New Roman" w:hAnsi="Palatino Linotype" w:cs="Times New Roman"/>
          <w:b/>
          <w:bCs/>
          <w:color w:val="000000"/>
        </w:rPr>
      </w:pPr>
    </w:p>
    <w:p w:rsidR="00FD2083" w:rsidRDefault="00FD2083" w:rsidP="00FD2083">
      <w:pPr>
        <w:spacing w:after="0" w:line="240" w:lineRule="auto"/>
        <w:rPr>
          <w:rFonts w:ascii="Palatino Linotype" w:eastAsia="Times New Roman" w:hAnsi="Palatino Linotype" w:cs="Times New Roman"/>
          <w:b/>
          <w:bCs/>
          <w:color w:val="000000"/>
        </w:rPr>
      </w:pPr>
    </w:p>
    <w:p w:rsidR="00FD2083" w:rsidRPr="0048570E" w:rsidRDefault="00FD2083" w:rsidP="00FD2083">
      <w:pPr>
        <w:spacing w:after="0" w:line="240" w:lineRule="auto"/>
        <w:rPr>
          <w:rFonts w:ascii="Palatino Linotype" w:eastAsia="Times New Roman" w:hAnsi="Palatino Linotype" w:cs="Times New Roman"/>
          <w:b/>
          <w:bCs/>
          <w:color w:val="000000"/>
        </w:rPr>
      </w:pPr>
      <w:r>
        <w:rPr>
          <w:rFonts w:ascii="Palatino Linotype" w:eastAsia="Times New Roman" w:hAnsi="Palatino Linotype" w:cs="Times New Roman"/>
          <w:b/>
          <w:bCs/>
          <w:color w:val="000000"/>
        </w:rPr>
        <w:t>Figure</w:t>
      </w:r>
      <w:r w:rsidRPr="0048570E">
        <w:rPr>
          <w:rFonts w:ascii="Palatino Linotype" w:eastAsia="Times New Roman" w:hAnsi="Palatino Linotype" w:cs="Times New Roman"/>
          <w:b/>
          <w:bCs/>
          <w:color w:val="000000"/>
        </w:rPr>
        <w:t xml:space="preserve"> </w:t>
      </w:r>
      <w:r>
        <w:rPr>
          <w:rFonts w:ascii="Palatino Linotype" w:eastAsia="Times New Roman" w:hAnsi="Palatino Linotype" w:cs="Times New Roman"/>
          <w:b/>
          <w:bCs/>
          <w:color w:val="000000"/>
        </w:rPr>
        <w:t>3A</w:t>
      </w:r>
      <w:r w:rsidRPr="0048570E">
        <w:rPr>
          <w:rFonts w:ascii="Palatino Linotype" w:eastAsia="Times New Roman" w:hAnsi="Palatino Linotype" w:cs="Times New Roman"/>
          <w:b/>
          <w:bCs/>
          <w:color w:val="000000"/>
        </w:rPr>
        <w:t>:  Change in Age Distribution o</w:t>
      </w:r>
      <w:r>
        <w:rPr>
          <w:rFonts w:ascii="Palatino Linotype" w:eastAsia="Times New Roman" w:hAnsi="Palatino Linotype" w:cs="Times New Roman"/>
          <w:b/>
          <w:bCs/>
          <w:color w:val="000000"/>
        </w:rPr>
        <w:t>f Portland’s Workforce, 2004-</w:t>
      </w:r>
      <w:r w:rsidRPr="0048570E">
        <w:rPr>
          <w:rFonts w:ascii="Palatino Linotype" w:eastAsia="Times New Roman" w:hAnsi="Palatino Linotype" w:cs="Times New Roman"/>
          <w:b/>
          <w:bCs/>
          <w:color w:val="000000"/>
        </w:rPr>
        <w:t>14</w:t>
      </w: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2F2F95C2" wp14:editId="4F90EDFF">
            <wp:extent cx="4087495" cy="3115339"/>
            <wp:effectExtent l="0" t="0" r="825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b="8629"/>
                    <a:stretch/>
                  </pic:blipFill>
                  <pic:spPr bwMode="auto">
                    <a:xfrm>
                      <a:off x="0" y="0"/>
                      <a:ext cx="4100590" cy="3125320"/>
                    </a:xfrm>
                    <a:prstGeom prst="rect">
                      <a:avLst/>
                    </a:prstGeom>
                    <a:noFill/>
                    <a:ln>
                      <a:noFill/>
                    </a:ln>
                    <a:extLst>
                      <a:ext uri="{53640926-AAD7-44D8-BBD7-CCE9431645EC}">
                        <a14:shadowObscured xmlns:a14="http://schemas.microsoft.com/office/drawing/2010/main"/>
                      </a:ext>
                    </a:extLst>
                  </pic:spPr>
                </pic:pic>
              </a:graphicData>
            </a:graphic>
          </wp:inline>
        </w:drawing>
      </w:r>
    </w:p>
    <w:p w:rsidR="00FD2083" w:rsidRDefault="00FD2083" w:rsidP="00FD2083">
      <w:pPr>
        <w:spacing w:after="0" w:line="240" w:lineRule="auto"/>
        <w:jc w:val="center"/>
        <w:rPr>
          <w:rFonts w:ascii="Palatino Linotype" w:hAnsi="Palatino Linotype"/>
          <w:b/>
        </w:rPr>
      </w:pPr>
    </w:p>
    <w:p w:rsidR="00FD2083" w:rsidRDefault="00FD2083" w:rsidP="00FD2083">
      <w:pPr>
        <w:spacing w:after="0" w:line="240" w:lineRule="auto"/>
        <w:rPr>
          <w:rFonts w:ascii="Palatino Linotype" w:hAnsi="Palatino Linotype"/>
          <w:b/>
        </w:rPr>
      </w:pPr>
      <w:r>
        <w:rPr>
          <w:rFonts w:ascii="Palatino Linotype" w:hAnsi="Palatino Linotype"/>
          <w:b/>
        </w:rPr>
        <w:t>Figure 3B: Age Distribution of Portland’s Workforce, 2014</w:t>
      </w: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06072429" wp14:editId="5B02E82C">
            <wp:extent cx="3162300" cy="29568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5990" cy="2960255"/>
                    </a:xfrm>
                    <a:prstGeom prst="rect">
                      <a:avLst/>
                    </a:prstGeom>
                    <a:noFill/>
                  </pic:spPr>
                </pic:pic>
              </a:graphicData>
            </a:graphic>
          </wp:inline>
        </w:drawing>
      </w:r>
    </w:p>
    <w:p w:rsidR="00FD2083" w:rsidRDefault="00FD2083" w:rsidP="00FD2083">
      <w:pPr>
        <w:spacing w:after="0" w:line="240" w:lineRule="auto"/>
        <w:jc w:val="center"/>
        <w:rPr>
          <w:rFonts w:ascii="Palatino Linotype" w:hAnsi="Palatino Linotype"/>
          <w:b/>
        </w:rPr>
      </w:pPr>
    </w:p>
    <w:p w:rsidR="00FD2083" w:rsidRDefault="00FD2083" w:rsidP="00FD2083">
      <w:pPr>
        <w:spacing w:after="0" w:line="240" w:lineRule="auto"/>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 xml:space="preserve">4. </w:t>
      </w:r>
      <w:r w:rsidRPr="00EC28E4">
        <w:rPr>
          <w:rFonts w:ascii="Palatino Linotype" w:hAnsi="Palatino Linotype"/>
          <w:b/>
        </w:rPr>
        <w:t xml:space="preserve">Earnings Distribution of Portland’s Workforce. </w:t>
      </w:r>
      <w:r w:rsidRPr="00EC28E4">
        <w:rPr>
          <w:rFonts w:ascii="Palatino Linotype" w:hAnsi="Palatino Linotype"/>
        </w:rPr>
        <w:t xml:space="preserve">Long- term wage stagnation has eroded the buying power and the living standards of American workers, and Maine’s are no exception.  Movements to increase the minimum wage are underway across the country. A Maine referendum scheduled for this November proposes to increase Maine’s minimum wage from the current level of $7.50 per hour to $12.00 per hour by 2020.  One of the most positive signs for </w:t>
      </w:r>
      <w:r w:rsidRPr="00EC28E4">
        <w:rPr>
          <w:rFonts w:ascii="Palatino Linotype" w:hAnsi="Palatino Linotype"/>
        </w:rPr>
        <w:lastRenderedPageBreak/>
        <w:t xml:space="preserve">Portland’s economy is the growth in the number of workers earning in the upper tier of the earnings distribution.  The share of these earners moved from 30 % in 2004 to 45% in 2014, a gain of nearly 12,000 workers.  Yet, there remain significant numbers of workers earning at the low end of the wage distribution, with nearly a 20 % share in 2014.  It is low-wage workers who are most vulnerable, particularly as housing costs continue to go up at much faster rates than wages.   </w:t>
      </w:r>
    </w:p>
    <w:p w:rsidR="00FD2083" w:rsidRPr="00EC28E4"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sidRPr="00EC28E4">
        <w:rPr>
          <w:rFonts w:ascii="Palatino Linotype" w:hAnsi="Palatino Linotype"/>
          <w:b/>
        </w:rPr>
        <w:t>Table 4:  Change in Monthly Earnings Distribution, Portland’s Workforce, 2004-14</w:t>
      </w:r>
    </w:p>
    <w:p w:rsidR="00FD2083" w:rsidRPr="00EC28E4" w:rsidRDefault="00FD2083" w:rsidP="00FD2083">
      <w:pPr>
        <w:spacing w:after="0" w:line="240" w:lineRule="auto"/>
        <w:rPr>
          <w:rFonts w:ascii="Palatino Linotype" w:hAnsi="Palatino Linotype"/>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7"/>
        <w:gridCol w:w="1170"/>
        <w:gridCol w:w="946"/>
        <w:gridCol w:w="1124"/>
        <w:gridCol w:w="989"/>
        <w:gridCol w:w="1131"/>
      </w:tblGrid>
      <w:tr w:rsidR="00FD2083" w:rsidRPr="00EC28E4" w:rsidTr="00F2661C">
        <w:trPr>
          <w:trHeight w:val="395"/>
        </w:trPr>
        <w:tc>
          <w:tcPr>
            <w:tcW w:w="312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Earnings</w:t>
            </w:r>
          </w:p>
        </w:tc>
        <w:tc>
          <w:tcPr>
            <w:tcW w:w="2116"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2004</w:t>
            </w:r>
          </w:p>
        </w:tc>
        <w:tc>
          <w:tcPr>
            <w:tcW w:w="2113"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2014</w:t>
            </w:r>
          </w:p>
        </w:tc>
        <w:tc>
          <w:tcPr>
            <w:tcW w:w="1131"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Change</w:t>
            </w:r>
          </w:p>
        </w:tc>
      </w:tr>
      <w:tr w:rsidR="00FD2083" w:rsidRPr="00EC28E4" w:rsidTr="00F2661C">
        <w:trPr>
          <w:trHeight w:val="323"/>
        </w:trPr>
        <w:tc>
          <w:tcPr>
            <w:tcW w:w="3127" w:type="dxa"/>
          </w:tcPr>
          <w:p w:rsidR="00FD2083" w:rsidRPr="00EC28E4" w:rsidRDefault="00FD2083" w:rsidP="00F2661C">
            <w:pPr>
              <w:spacing w:after="0" w:line="240" w:lineRule="auto"/>
              <w:rPr>
                <w:rFonts w:ascii="Palatino Linotype" w:hAnsi="Palatino Linotype"/>
              </w:rPr>
            </w:pP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946"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124"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989"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131"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r>
      <w:tr w:rsidR="00FD2083" w:rsidRPr="00EC28E4" w:rsidTr="00F2661C">
        <w:trPr>
          <w:trHeight w:val="350"/>
        </w:trPr>
        <w:tc>
          <w:tcPr>
            <w:tcW w:w="312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$1,250 Per Month or Less</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16,458</w:t>
            </w:r>
          </w:p>
        </w:tc>
        <w:tc>
          <w:tcPr>
            <w:tcW w:w="946"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25.7</w:t>
            </w:r>
            <w:r>
              <w:rPr>
                <w:rFonts w:ascii="Palatino Linotype" w:hAnsi="Palatino Linotype"/>
              </w:rPr>
              <w:t>%</w:t>
            </w:r>
          </w:p>
        </w:tc>
        <w:tc>
          <w:tcPr>
            <w:tcW w:w="1124"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13,371</w:t>
            </w:r>
          </w:p>
        </w:tc>
        <w:tc>
          <w:tcPr>
            <w:tcW w:w="989"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19.8</w:t>
            </w:r>
            <w:r>
              <w:rPr>
                <w:rFonts w:ascii="Palatino Linotype" w:hAnsi="Palatino Linotype"/>
              </w:rPr>
              <w:t>%</w:t>
            </w:r>
          </w:p>
        </w:tc>
        <w:tc>
          <w:tcPr>
            <w:tcW w:w="1131"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-3087</w:t>
            </w:r>
          </w:p>
        </w:tc>
      </w:tr>
      <w:tr w:rsidR="00FD2083" w:rsidRPr="00EC28E4" w:rsidTr="00F2661C">
        <w:trPr>
          <w:trHeight w:val="350"/>
        </w:trPr>
        <w:tc>
          <w:tcPr>
            <w:tcW w:w="312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$1251 to $3,333 Per Month</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28,214</w:t>
            </w:r>
          </w:p>
        </w:tc>
        <w:tc>
          <w:tcPr>
            <w:tcW w:w="946"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44.2</w:t>
            </w:r>
            <w:r>
              <w:rPr>
                <w:rFonts w:ascii="Palatino Linotype" w:hAnsi="Palatino Linotype"/>
              </w:rPr>
              <w:t>%</w:t>
            </w:r>
          </w:p>
        </w:tc>
        <w:tc>
          <w:tcPr>
            <w:tcW w:w="1124"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23,396</w:t>
            </w:r>
          </w:p>
        </w:tc>
        <w:tc>
          <w:tcPr>
            <w:tcW w:w="989"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34.6</w:t>
            </w:r>
            <w:r>
              <w:rPr>
                <w:rFonts w:ascii="Palatino Linotype" w:hAnsi="Palatino Linotype"/>
              </w:rPr>
              <w:t>%</w:t>
            </w:r>
          </w:p>
        </w:tc>
        <w:tc>
          <w:tcPr>
            <w:tcW w:w="1131"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-4818</w:t>
            </w:r>
          </w:p>
        </w:tc>
      </w:tr>
      <w:tr w:rsidR="00FD2083" w:rsidRPr="00EC28E4" w:rsidTr="00F2661C">
        <w:trPr>
          <w:trHeight w:val="350"/>
        </w:trPr>
        <w:tc>
          <w:tcPr>
            <w:tcW w:w="3127"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More Than $3,333 per Month</w:t>
            </w:r>
          </w:p>
        </w:tc>
        <w:tc>
          <w:tcPr>
            <w:tcW w:w="1170"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19,119</w:t>
            </w:r>
          </w:p>
        </w:tc>
        <w:tc>
          <w:tcPr>
            <w:tcW w:w="946"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30.1</w:t>
            </w:r>
            <w:r>
              <w:rPr>
                <w:rFonts w:ascii="Palatino Linotype" w:hAnsi="Palatino Linotype"/>
              </w:rPr>
              <w:t>%</w:t>
            </w:r>
          </w:p>
        </w:tc>
        <w:tc>
          <w:tcPr>
            <w:tcW w:w="1124"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30,881</w:t>
            </w:r>
          </w:p>
        </w:tc>
        <w:tc>
          <w:tcPr>
            <w:tcW w:w="989"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45.6</w:t>
            </w:r>
            <w:r>
              <w:rPr>
                <w:rFonts w:ascii="Palatino Linotype" w:hAnsi="Palatino Linotype"/>
              </w:rPr>
              <w:t>%</w:t>
            </w:r>
          </w:p>
        </w:tc>
        <w:tc>
          <w:tcPr>
            <w:tcW w:w="1131" w:type="dxa"/>
          </w:tcPr>
          <w:p w:rsidR="00FD2083" w:rsidRPr="00EC28E4" w:rsidRDefault="00FD2083" w:rsidP="00F2661C">
            <w:pPr>
              <w:spacing w:after="0" w:line="240" w:lineRule="auto"/>
              <w:rPr>
                <w:rFonts w:ascii="Palatino Linotype" w:hAnsi="Palatino Linotype"/>
              </w:rPr>
            </w:pPr>
            <w:r>
              <w:rPr>
                <w:rFonts w:ascii="Palatino Linotype" w:hAnsi="Palatino Linotype"/>
              </w:rPr>
              <w:t xml:space="preserve">  </w:t>
            </w:r>
            <w:r w:rsidRPr="00EC28E4">
              <w:rPr>
                <w:rFonts w:ascii="Palatino Linotype" w:hAnsi="Palatino Linotype"/>
              </w:rPr>
              <w:t>11,762</w:t>
            </w:r>
          </w:p>
        </w:tc>
      </w:tr>
    </w:tbl>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Figure</w:t>
      </w:r>
      <w:r w:rsidRPr="00EC28E4">
        <w:rPr>
          <w:rFonts w:ascii="Palatino Linotype" w:hAnsi="Palatino Linotype"/>
          <w:b/>
        </w:rPr>
        <w:t xml:space="preserve"> </w:t>
      </w:r>
      <w:r>
        <w:rPr>
          <w:rFonts w:ascii="Palatino Linotype" w:hAnsi="Palatino Linotype"/>
          <w:b/>
        </w:rPr>
        <w:t>4A</w:t>
      </w:r>
      <w:r w:rsidRPr="00EC28E4">
        <w:rPr>
          <w:rFonts w:ascii="Palatino Linotype" w:hAnsi="Palatino Linotype"/>
          <w:b/>
        </w:rPr>
        <w:t>:  Change in Monthly Earnings Distribution,</w:t>
      </w:r>
      <w:r>
        <w:rPr>
          <w:rFonts w:ascii="Palatino Linotype" w:hAnsi="Palatino Linotype"/>
          <w:b/>
        </w:rPr>
        <w:t xml:space="preserve"> Portland’s Workforce, 2004-</w:t>
      </w:r>
      <w:r w:rsidRPr="00EC28E4">
        <w:rPr>
          <w:rFonts w:ascii="Palatino Linotype" w:hAnsi="Palatino Linotype"/>
          <w:b/>
        </w:rPr>
        <w:t>14</w:t>
      </w: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1991D16E" wp14:editId="0A1C1C97">
            <wp:extent cx="3667565" cy="3338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92898" cy="3361684"/>
                    </a:xfrm>
                    <a:prstGeom prst="rect">
                      <a:avLst/>
                    </a:prstGeom>
                    <a:noFill/>
                  </pic:spPr>
                </pic:pic>
              </a:graphicData>
            </a:graphic>
          </wp:inline>
        </w:drawing>
      </w: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r>
        <w:rPr>
          <w:rFonts w:ascii="Palatino Linotype" w:hAnsi="Palatino Linotype"/>
          <w:b/>
        </w:rPr>
        <w:t>Figure 4B: Distribution of Monthly Earnings of Portland’s Workforce, 2014</w:t>
      </w:r>
    </w:p>
    <w:p w:rsidR="00FD2083" w:rsidRDefault="00FD2083" w:rsidP="00FD2083">
      <w:pPr>
        <w:spacing w:after="0" w:line="240" w:lineRule="auto"/>
        <w:jc w:val="center"/>
        <w:rPr>
          <w:rFonts w:ascii="Palatino Linotype" w:hAnsi="Palatino Linotype"/>
          <w:b/>
        </w:rPr>
      </w:pP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73818619" wp14:editId="4B026498">
            <wp:extent cx="3042285" cy="2944495"/>
            <wp:effectExtent l="0" t="0" r="571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2285" cy="2944495"/>
                    </a:xfrm>
                    <a:prstGeom prst="rect">
                      <a:avLst/>
                    </a:prstGeom>
                    <a:noFill/>
                  </pic:spPr>
                </pic:pic>
              </a:graphicData>
            </a:graphic>
          </wp:inline>
        </w:drawing>
      </w:r>
    </w:p>
    <w:p w:rsidR="00FD2083" w:rsidRDefault="00FD2083" w:rsidP="00FD2083">
      <w:pPr>
        <w:spacing w:after="0" w:line="240" w:lineRule="auto"/>
        <w:jc w:val="center"/>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 xml:space="preserve">5. </w:t>
      </w:r>
      <w:r w:rsidRPr="00EC28E4">
        <w:rPr>
          <w:rFonts w:ascii="Palatino Linotype" w:hAnsi="Palatino Linotype"/>
          <w:b/>
        </w:rPr>
        <w:t xml:space="preserve">Leading Industry Sectors Employing Portland’s Workforce. </w:t>
      </w:r>
      <w:r w:rsidRPr="00EC28E4">
        <w:rPr>
          <w:rFonts w:ascii="Palatino Linotype" w:hAnsi="Palatino Linotype"/>
        </w:rPr>
        <w:t xml:space="preserve">Health care and social assistance is by far Portland’s leading economic sector, with nearly 16,000 jobs in 2014 representing a quarter of all employment.  Hospitals, medical offices, mental health centers, and counseling and treatments centers are all classified under this sector.  Not only does this sector dominate, it also added over 2,000 jobs between 2004 and 2014.  With an aging population, Maine employment projections call for even more growth in the sector over the next ten years, covering a wide range from specialty physicians and top managers to entry-level housekeeping and basic patient care.  Salaries range from among the highest in the state to entry-level.  There are many technical and nursing jobs that pay good salaries and offer advancement.  It is noteworthy that fully 30 % of the workers in health care and social assistance in the Portland metro region were 55+ years of age in 2015.  </w:t>
      </w:r>
    </w:p>
    <w:p w:rsidR="00FD2083" w:rsidRDefault="00FD2083" w:rsidP="00FD2083">
      <w:pPr>
        <w:spacing w:after="0" w:line="240" w:lineRule="auto"/>
        <w:rPr>
          <w:rFonts w:ascii="Palatino Linotype" w:hAnsi="Palatino Linotype"/>
        </w:rPr>
      </w:pPr>
    </w:p>
    <w:p w:rsidR="00FD2083" w:rsidRPr="00EC28E4" w:rsidRDefault="00FD2083" w:rsidP="00FD2083">
      <w:pPr>
        <w:spacing w:after="0" w:line="240" w:lineRule="auto"/>
        <w:rPr>
          <w:rFonts w:ascii="Palatino Linotype" w:hAnsi="Palatino Linotype"/>
        </w:rPr>
      </w:pPr>
      <w:r w:rsidRPr="00EC28E4">
        <w:rPr>
          <w:rFonts w:ascii="Palatino Linotype" w:hAnsi="Palatino Linotype"/>
        </w:rPr>
        <w:t>Finance and insurance, with over 6,000 jobs in 2014, also showed significant growth between 2004 and 2014. Nearly 2500 jobs were added during the period, making this sector the largest job creator in Portland.  Executive, managerial, technical, sales, and support positions make up the sector, and workers 55 years of age and older make up 23% of this workforce.</w:t>
      </w:r>
    </w:p>
    <w:p w:rsidR="00FD2083" w:rsidRPr="00EC28E4" w:rsidRDefault="00FD2083" w:rsidP="00FD2083">
      <w:pPr>
        <w:spacing w:after="0" w:line="240" w:lineRule="auto"/>
        <w:rPr>
          <w:rFonts w:ascii="Palatino Linotype" w:hAnsi="Palatino Linotype"/>
        </w:rPr>
      </w:pPr>
      <w:r w:rsidRPr="00EC28E4">
        <w:rPr>
          <w:rFonts w:ascii="Palatino Linotype" w:hAnsi="Palatino Linotype"/>
        </w:rPr>
        <w:t xml:space="preserve">Professional, scientific and technical services have long been a mainstay of the Portland economy.  Lawyers, accountants, consultants, researchers, and many others with specialized skills make up the sector. Nearly 1,000 professional, scientific and technical jobs were added in Portland between 2004 and 2014, typically paying high wages.  A quarter of the workforce in this sector was 55+ years of age in 2015.  </w:t>
      </w:r>
    </w:p>
    <w:p w:rsidR="00FD2083" w:rsidRDefault="00FD2083" w:rsidP="00FD2083">
      <w:pPr>
        <w:spacing w:after="0" w:line="240" w:lineRule="auto"/>
        <w:rPr>
          <w:rFonts w:ascii="Palatino Linotype" w:hAnsi="Palatino Linotype"/>
        </w:rPr>
      </w:pPr>
    </w:p>
    <w:p w:rsidR="00FD2083" w:rsidRDefault="00FD2083" w:rsidP="00FD2083">
      <w:pPr>
        <w:spacing w:after="0" w:line="240" w:lineRule="auto"/>
        <w:rPr>
          <w:rFonts w:ascii="Palatino Linotype" w:hAnsi="Palatino Linotype"/>
        </w:rPr>
      </w:pPr>
      <w:r w:rsidRPr="00EC28E4">
        <w:rPr>
          <w:rFonts w:ascii="Palatino Linotype" w:hAnsi="Palatino Linotype"/>
        </w:rPr>
        <w:lastRenderedPageBreak/>
        <w:t>The accommodation and food services sector has also shown growth, with 1023 jobs added between 2004 and 2014.  The addition of new hotels and restaurants in Portland has helped to add jobs and increase employment share of this sector from 7.2 to 8.3 percent between 2004 and 2014.  Most jobs in this sector tend to be in middle management and service occupations with pay in the middle to low end of the earnings distribution.</w:t>
      </w:r>
      <w:r>
        <w:rPr>
          <w:rFonts w:ascii="Palatino Linotype" w:hAnsi="Palatino Linotype"/>
        </w:rPr>
        <w:t xml:space="preserve"> </w:t>
      </w:r>
      <w:r w:rsidRPr="00EC28E4">
        <w:rPr>
          <w:rFonts w:ascii="Palatino Linotype" w:hAnsi="Palatino Linotype"/>
        </w:rPr>
        <w:t>Finally, Portland’s retail sector has remained mostly flat in terms of jobs, with an 8.5 percent share in 2004 dropping slightly to 7.9 in 2014.  There are many seasonal jobs in this sector and pay tends to be on the low end</w:t>
      </w:r>
      <w:r>
        <w:rPr>
          <w:rFonts w:ascii="Palatino Linotype" w:hAnsi="Palatino Linotype"/>
        </w:rPr>
        <w:t>.</w:t>
      </w:r>
    </w:p>
    <w:p w:rsidR="00FD2083" w:rsidRDefault="00FD2083" w:rsidP="00FD2083">
      <w:pPr>
        <w:spacing w:after="0" w:line="240" w:lineRule="auto"/>
        <w:rPr>
          <w:rFonts w:ascii="Palatino Linotype" w:hAnsi="Palatino Linotype"/>
        </w:rPr>
      </w:pPr>
    </w:p>
    <w:p w:rsidR="00FD2083" w:rsidRDefault="00FD2083" w:rsidP="00FD2083">
      <w:pPr>
        <w:spacing w:after="0" w:line="240" w:lineRule="auto"/>
        <w:rPr>
          <w:rFonts w:ascii="Palatino Linotype" w:hAnsi="Palatino Linotype"/>
          <w:b/>
        </w:rPr>
      </w:pPr>
      <w:r w:rsidRPr="00EC28E4">
        <w:rPr>
          <w:rFonts w:ascii="Palatino Linotype" w:hAnsi="Palatino Linotype"/>
          <w:b/>
        </w:rPr>
        <w:t>Table 5:  Employment Change in Portland’s To</w:t>
      </w:r>
      <w:r>
        <w:rPr>
          <w:rFonts w:ascii="Palatino Linotype" w:hAnsi="Palatino Linotype"/>
          <w:b/>
        </w:rPr>
        <w:t>p Five Industry Sectors, 2004-</w:t>
      </w:r>
      <w:r w:rsidRPr="00EC28E4">
        <w:rPr>
          <w:rFonts w:ascii="Palatino Linotype" w:hAnsi="Palatino Linotype"/>
          <w:b/>
        </w:rPr>
        <w:t>14</w:t>
      </w:r>
    </w:p>
    <w:p w:rsidR="00FD2083" w:rsidRPr="00EC28E4" w:rsidRDefault="00FD2083" w:rsidP="00FD2083">
      <w:pPr>
        <w:spacing w:after="0" w:line="240" w:lineRule="auto"/>
        <w:rPr>
          <w:rFonts w:ascii="Palatino Linotype" w:hAnsi="Palatino Linotype"/>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350"/>
        <w:gridCol w:w="1170"/>
        <w:gridCol w:w="1170"/>
        <w:gridCol w:w="990"/>
        <w:gridCol w:w="1040"/>
      </w:tblGrid>
      <w:tr w:rsidR="00FD2083" w:rsidRPr="00EC28E4" w:rsidTr="00F2661C">
        <w:trPr>
          <w:trHeight w:val="278"/>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 xml:space="preserve">Industry Sector </w:t>
            </w:r>
          </w:p>
        </w:tc>
        <w:tc>
          <w:tcPr>
            <w:tcW w:w="252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2004</w:t>
            </w:r>
          </w:p>
        </w:tc>
        <w:tc>
          <w:tcPr>
            <w:tcW w:w="2160" w:type="dxa"/>
            <w:gridSpan w:val="2"/>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2014</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Gain</w:t>
            </w:r>
          </w:p>
        </w:tc>
      </w:tr>
      <w:tr w:rsidR="00FD2083" w:rsidRPr="00EC28E4" w:rsidTr="00F2661C">
        <w:trPr>
          <w:trHeight w:val="188"/>
        </w:trPr>
        <w:tc>
          <w:tcPr>
            <w:tcW w:w="3060" w:type="dxa"/>
          </w:tcPr>
          <w:p w:rsidR="00FD2083" w:rsidRPr="00EC28E4" w:rsidRDefault="00FD2083" w:rsidP="00F2661C">
            <w:pPr>
              <w:spacing w:after="0" w:line="240" w:lineRule="auto"/>
              <w:rPr>
                <w:rFonts w:ascii="Palatino Linotype" w:hAnsi="Palatino Linotype"/>
              </w:rPr>
            </w:pP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Number</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Share</w:t>
            </w:r>
          </w:p>
        </w:tc>
        <w:tc>
          <w:tcPr>
            <w:tcW w:w="923" w:type="dxa"/>
            <w:shd w:val="clear" w:color="auto" w:fill="auto"/>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Number</w:t>
            </w:r>
          </w:p>
        </w:tc>
      </w:tr>
      <w:tr w:rsidR="00FD2083" w:rsidRPr="00EC28E4" w:rsidTr="00F2661C">
        <w:trPr>
          <w:trHeight w:val="575"/>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 xml:space="preserve">Health Care and Social Assistance </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13,944</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21.9</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15,980</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23.6</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2036</w:t>
            </w:r>
          </w:p>
        </w:tc>
      </w:tr>
      <w:tr w:rsidR="00FD2083" w:rsidRPr="00EC28E4" w:rsidTr="00F2661C">
        <w:trPr>
          <w:trHeight w:val="323"/>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 xml:space="preserve">Finance and Insurance </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3,789</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5.9</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6,225</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9.2</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2436</w:t>
            </w:r>
          </w:p>
        </w:tc>
      </w:tr>
      <w:tr w:rsidR="00FD2083" w:rsidRPr="00EC28E4" w:rsidTr="00F2661C">
        <w:trPr>
          <w:trHeight w:val="620"/>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 xml:space="preserve">Professional, Scientific and Technical Services </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4,895</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7.7</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5,865</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8.7</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970</w:t>
            </w:r>
          </w:p>
        </w:tc>
      </w:tr>
      <w:tr w:rsidR="00FD2083" w:rsidRPr="00EC28E4" w:rsidTr="00F2661C">
        <w:trPr>
          <w:trHeight w:val="557"/>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Accommodation and Food Services</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4,572</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7.2</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5,595</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8.3</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1023</w:t>
            </w:r>
          </w:p>
        </w:tc>
      </w:tr>
      <w:tr w:rsidR="00FD2083" w:rsidRPr="00EC28E4" w:rsidTr="00F2661C">
        <w:trPr>
          <w:trHeight w:val="350"/>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 xml:space="preserve">Retail Trade </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5,403</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8.5</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5,345</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7.9</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-58</w:t>
            </w:r>
          </w:p>
        </w:tc>
      </w:tr>
      <w:tr w:rsidR="00FD2083" w:rsidRPr="00EC28E4" w:rsidTr="00F2661C">
        <w:trPr>
          <w:trHeight w:val="260"/>
        </w:trPr>
        <w:tc>
          <w:tcPr>
            <w:tcW w:w="3060" w:type="dxa"/>
          </w:tcPr>
          <w:p w:rsidR="00FD2083" w:rsidRPr="00EC28E4" w:rsidRDefault="00FD2083" w:rsidP="00F2661C">
            <w:pPr>
              <w:spacing w:after="0" w:line="240" w:lineRule="auto"/>
              <w:rPr>
                <w:rFonts w:ascii="Palatino Linotype" w:hAnsi="Palatino Linotype"/>
              </w:rPr>
            </w:pPr>
            <w:r w:rsidRPr="00EC28E4">
              <w:rPr>
                <w:rFonts w:ascii="Palatino Linotype" w:hAnsi="Palatino Linotype"/>
              </w:rPr>
              <w:t>Balance of Sectors</w:t>
            </w:r>
          </w:p>
        </w:tc>
        <w:tc>
          <w:tcPr>
            <w:tcW w:w="135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31,118</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48.8</w:t>
            </w:r>
            <w:r>
              <w:rPr>
                <w:rFonts w:ascii="Palatino Linotype" w:hAnsi="Palatino Linotype"/>
              </w:rPr>
              <w:t>%</w:t>
            </w:r>
          </w:p>
        </w:tc>
        <w:tc>
          <w:tcPr>
            <w:tcW w:w="117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28,638</w:t>
            </w:r>
          </w:p>
        </w:tc>
        <w:tc>
          <w:tcPr>
            <w:tcW w:w="990" w:type="dxa"/>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42.3</w:t>
            </w:r>
            <w:r>
              <w:rPr>
                <w:rFonts w:ascii="Palatino Linotype" w:hAnsi="Palatino Linotype"/>
              </w:rPr>
              <w:t>%</w:t>
            </w:r>
          </w:p>
        </w:tc>
        <w:tc>
          <w:tcPr>
            <w:tcW w:w="923" w:type="dxa"/>
            <w:shd w:val="clear" w:color="auto" w:fill="auto"/>
          </w:tcPr>
          <w:p w:rsidR="00FD2083" w:rsidRPr="00EC28E4" w:rsidRDefault="00FD2083" w:rsidP="00F2661C">
            <w:pPr>
              <w:spacing w:after="0" w:line="240" w:lineRule="auto"/>
              <w:jc w:val="center"/>
              <w:rPr>
                <w:rFonts w:ascii="Palatino Linotype" w:hAnsi="Palatino Linotype"/>
              </w:rPr>
            </w:pPr>
            <w:r w:rsidRPr="00EC28E4">
              <w:rPr>
                <w:rFonts w:ascii="Palatino Linotype" w:hAnsi="Palatino Linotype"/>
              </w:rPr>
              <w:t>-2,480</w:t>
            </w:r>
          </w:p>
        </w:tc>
      </w:tr>
    </w:tbl>
    <w:p w:rsidR="00FD2083" w:rsidRDefault="00FD2083" w:rsidP="00FD2083">
      <w:pPr>
        <w:spacing w:after="0" w:line="240" w:lineRule="auto"/>
        <w:rPr>
          <w:rFonts w:ascii="Palatino Linotype" w:hAnsi="Palatino Linotype"/>
          <w:b/>
        </w:rPr>
      </w:pPr>
    </w:p>
    <w:p w:rsidR="00FD2083" w:rsidRDefault="00FD2083" w:rsidP="00FD2083">
      <w:pPr>
        <w:spacing w:after="0" w:line="240" w:lineRule="auto"/>
        <w:rPr>
          <w:rFonts w:ascii="Palatino Linotype" w:hAnsi="Palatino Linotype"/>
          <w:b/>
        </w:rPr>
      </w:pPr>
    </w:p>
    <w:p w:rsidR="00FD2083" w:rsidRPr="00EC28E4" w:rsidRDefault="00FD2083" w:rsidP="00FD2083">
      <w:pPr>
        <w:spacing w:after="0" w:line="240" w:lineRule="auto"/>
        <w:rPr>
          <w:rFonts w:ascii="Palatino Linotype" w:hAnsi="Palatino Linotype"/>
          <w:b/>
        </w:rPr>
      </w:pPr>
      <w:r>
        <w:rPr>
          <w:rFonts w:ascii="Palatino Linotype" w:hAnsi="Palatino Linotype"/>
          <w:b/>
        </w:rPr>
        <w:t>Figure</w:t>
      </w:r>
      <w:r w:rsidRPr="00EC28E4">
        <w:rPr>
          <w:rFonts w:ascii="Palatino Linotype" w:hAnsi="Palatino Linotype"/>
          <w:b/>
        </w:rPr>
        <w:t xml:space="preserve"> </w:t>
      </w:r>
      <w:r>
        <w:rPr>
          <w:rFonts w:ascii="Palatino Linotype" w:hAnsi="Palatino Linotype"/>
          <w:b/>
        </w:rPr>
        <w:t>5A</w:t>
      </w:r>
      <w:r w:rsidRPr="00EC28E4">
        <w:rPr>
          <w:rFonts w:ascii="Palatino Linotype" w:hAnsi="Palatino Linotype"/>
          <w:b/>
        </w:rPr>
        <w:t>:  Employment Change in Portland’s Top Five Industry Sectors, 2004-14</w:t>
      </w:r>
    </w:p>
    <w:p w:rsidR="00FD2083" w:rsidRDefault="00FD2083" w:rsidP="00FD2083">
      <w:pPr>
        <w:spacing w:after="0" w:line="240" w:lineRule="auto"/>
        <w:jc w:val="center"/>
        <w:rPr>
          <w:rFonts w:ascii="Palatino Linotype" w:hAnsi="Palatino Linotype"/>
          <w:b/>
        </w:rPr>
      </w:pPr>
      <w:r>
        <w:rPr>
          <w:rFonts w:ascii="Palatino Linotype" w:hAnsi="Palatino Linotype"/>
          <w:b/>
          <w:noProof/>
        </w:rPr>
        <w:drawing>
          <wp:inline distT="0" distB="0" distL="0" distR="0" wp14:anchorId="35D9EA45" wp14:editId="03FD24BF">
            <wp:extent cx="4450630" cy="345558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62352" cy="3464682"/>
                    </a:xfrm>
                    <a:prstGeom prst="rect">
                      <a:avLst/>
                    </a:prstGeom>
                    <a:noFill/>
                  </pic:spPr>
                </pic:pic>
              </a:graphicData>
            </a:graphic>
          </wp:inline>
        </w:drawing>
      </w:r>
    </w:p>
    <w:p w:rsidR="00FD2083" w:rsidRDefault="00FD2083" w:rsidP="00FD2083">
      <w:pPr>
        <w:spacing w:after="0" w:line="240" w:lineRule="auto"/>
        <w:jc w:val="center"/>
        <w:rPr>
          <w:rFonts w:ascii="Palatino Linotype" w:hAnsi="Palatino Linotype"/>
          <w:b/>
        </w:rPr>
      </w:pPr>
    </w:p>
    <w:p w:rsidR="00FD2083" w:rsidRPr="00500090" w:rsidRDefault="00FD2083" w:rsidP="00FD2083">
      <w:pPr>
        <w:spacing w:after="0" w:line="240" w:lineRule="auto"/>
        <w:rPr>
          <w:rFonts w:ascii="Palatino Linotype" w:hAnsi="Palatino Linotype"/>
          <w:b/>
        </w:rPr>
      </w:pPr>
      <w:r w:rsidRPr="000B3106">
        <w:rPr>
          <w:rFonts w:ascii="Palatino Linotype" w:hAnsi="Palatino Linotype"/>
          <w:b/>
        </w:rPr>
        <w:t xml:space="preserve">Figure </w:t>
      </w:r>
      <w:r>
        <w:rPr>
          <w:rFonts w:ascii="Palatino Linotype" w:hAnsi="Palatino Linotype"/>
          <w:b/>
        </w:rPr>
        <w:t>5B</w:t>
      </w:r>
      <w:r w:rsidRPr="000B3106">
        <w:rPr>
          <w:rFonts w:ascii="Palatino Linotype" w:hAnsi="Palatino Linotype"/>
          <w:b/>
        </w:rPr>
        <w:t>: Employment Distribution in Portland’s Top Five Industry Sectors</w:t>
      </w:r>
      <w:r>
        <w:rPr>
          <w:rFonts w:ascii="Palatino Linotype" w:hAnsi="Palatino Linotype"/>
          <w:b/>
        </w:rPr>
        <w:t>, 20</w:t>
      </w:r>
      <w:r w:rsidRPr="000B3106">
        <w:rPr>
          <w:rFonts w:ascii="Palatino Linotype" w:hAnsi="Palatino Linotype"/>
          <w:b/>
        </w:rPr>
        <w:t>14</w:t>
      </w:r>
    </w:p>
    <w:p w:rsidR="00FD2083" w:rsidRDefault="00FD2083" w:rsidP="00FD2083">
      <w:pPr>
        <w:jc w:val="center"/>
      </w:pPr>
      <w:r>
        <w:rPr>
          <w:noProof/>
        </w:rPr>
        <w:drawing>
          <wp:inline distT="0" distB="0" distL="0" distR="0" wp14:anchorId="21777866" wp14:editId="7F529FB1">
            <wp:extent cx="4048125" cy="34733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4296" cy="3478673"/>
                    </a:xfrm>
                    <a:prstGeom prst="rect">
                      <a:avLst/>
                    </a:prstGeom>
                    <a:noFill/>
                  </pic:spPr>
                </pic:pic>
              </a:graphicData>
            </a:graphic>
          </wp:inline>
        </w:drawing>
      </w:r>
    </w:p>
    <w:p w:rsidR="00897655" w:rsidRPr="00897655" w:rsidRDefault="00897655" w:rsidP="00FD2083">
      <w:pPr>
        <w:spacing w:after="0" w:line="240" w:lineRule="auto"/>
        <w:rPr>
          <w:rFonts w:ascii="Palatino Linotype" w:hAnsi="Palatino Linotype" w:cs="Arial"/>
          <w:b/>
          <w:color w:val="222222"/>
          <w:sz w:val="28"/>
          <w:szCs w:val="28"/>
          <w:shd w:val="clear" w:color="auto" w:fill="FFFFFF"/>
        </w:rPr>
      </w:pPr>
    </w:p>
    <w:p w:rsidR="00FD20D3" w:rsidRDefault="00FD20D3" w:rsidP="00FD20D3">
      <w:pPr>
        <w:spacing w:after="0" w:line="240" w:lineRule="auto"/>
      </w:pPr>
    </w:p>
    <w:p w:rsidR="00FD20D3" w:rsidRDefault="00FD20D3" w:rsidP="00FD20D3"/>
    <w:p w:rsidR="00FD20D3" w:rsidRDefault="00FD20D3" w:rsidP="00FD20D3"/>
    <w:p w:rsidR="00080622" w:rsidRDefault="00080622">
      <w:pPr>
        <w:spacing w:after="160" w:line="259" w:lineRule="auto"/>
      </w:pPr>
      <w:r>
        <w:br w:type="page"/>
      </w:r>
    </w:p>
    <w:p w:rsidR="005D4CB0" w:rsidRPr="00962B95" w:rsidRDefault="005D4CB0" w:rsidP="005D4CB0">
      <w:pPr>
        <w:rPr>
          <w:rFonts w:ascii="Palatino Linotype" w:hAnsi="Palatino Linotype"/>
          <w:sz w:val="28"/>
          <w:szCs w:val="28"/>
        </w:rPr>
      </w:pPr>
      <w:r>
        <w:rPr>
          <w:rFonts w:ascii="Palatino Linotype" w:hAnsi="Palatino Linotype"/>
          <w:b/>
          <w:sz w:val="28"/>
          <w:szCs w:val="28"/>
        </w:rPr>
        <w:lastRenderedPageBreak/>
        <w:t xml:space="preserve">IV. </w:t>
      </w:r>
      <w:r w:rsidR="000D33C8">
        <w:rPr>
          <w:rFonts w:ascii="Palatino Linotype" w:hAnsi="Palatino Linotype"/>
          <w:b/>
          <w:sz w:val="28"/>
          <w:szCs w:val="28"/>
        </w:rPr>
        <w:t>“</w:t>
      </w:r>
      <w:r w:rsidRPr="00962B95">
        <w:rPr>
          <w:rFonts w:ascii="Palatino Linotype" w:hAnsi="Palatino Linotype"/>
          <w:sz w:val="28"/>
          <w:szCs w:val="28"/>
        </w:rPr>
        <w:t>T</w:t>
      </w:r>
      <w:r>
        <w:rPr>
          <w:rFonts w:ascii="Palatino Linotype" w:hAnsi="Palatino Linotype"/>
          <w:sz w:val="28"/>
          <w:szCs w:val="28"/>
        </w:rPr>
        <w:t>he New Allure of the City (and Some Unanticipated C</w:t>
      </w:r>
      <w:r w:rsidRPr="00962B95">
        <w:rPr>
          <w:rFonts w:ascii="Palatino Linotype" w:hAnsi="Palatino Linotype"/>
          <w:sz w:val="28"/>
          <w:szCs w:val="28"/>
        </w:rPr>
        <w:t>onsequences)</w:t>
      </w:r>
      <w:r w:rsidR="000D33C8">
        <w:rPr>
          <w:rFonts w:ascii="Palatino Linotype" w:hAnsi="Palatino Linotype"/>
          <w:sz w:val="28"/>
          <w:szCs w:val="28"/>
        </w:rPr>
        <w:t>”</w:t>
      </w:r>
    </w:p>
    <w:p w:rsidR="005D4CB0" w:rsidRPr="002A2DEF" w:rsidRDefault="005D4CB0" w:rsidP="005D4CB0">
      <w:pPr>
        <w:rPr>
          <w:rFonts w:ascii="Palatino Linotype" w:hAnsi="Palatino Linotype"/>
          <w:sz w:val="24"/>
          <w:szCs w:val="24"/>
        </w:rPr>
      </w:pPr>
      <w:r w:rsidRPr="002A2DEF">
        <w:rPr>
          <w:rFonts w:ascii="Palatino Linotype" w:hAnsi="Palatino Linotype"/>
          <w:sz w:val="24"/>
          <w:szCs w:val="24"/>
        </w:rPr>
        <w:t xml:space="preserve">A </w:t>
      </w:r>
      <w:r>
        <w:rPr>
          <w:rFonts w:ascii="Palatino Linotype" w:hAnsi="Palatino Linotype"/>
          <w:sz w:val="24"/>
          <w:szCs w:val="24"/>
        </w:rPr>
        <w:t xml:space="preserve">Public </w:t>
      </w:r>
      <w:r w:rsidRPr="002A2DEF">
        <w:rPr>
          <w:rFonts w:ascii="Palatino Linotype" w:hAnsi="Palatino Linotype"/>
          <w:sz w:val="24"/>
          <w:szCs w:val="24"/>
        </w:rPr>
        <w:t>Lecture by</w:t>
      </w:r>
      <w:r>
        <w:rPr>
          <w:rFonts w:ascii="Palatino Linotype" w:hAnsi="Palatino Linotype"/>
          <w:sz w:val="24"/>
          <w:szCs w:val="24"/>
        </w:rPr>
        <w:t xml:space="preserve"> Alex Kri</w:t>
      </w:r>
      <w:r w:rsidRPr="002A2DEF">
        <w:rPr>
          <w:rFonts w:ascii="Palatino Linotype" w:hAnsi="Palatino Linotype"/>
          <w:sz w:val="24"/>
          <w:szCs w:val="24"/>
        </w:rPr>
        <w:t>eger, FAIA</w:t>
      </w:r>
    </w:p>
    <w:p w:rsidR="005D4CB0" w:rsidRPr="00962B95" w:rsidRDefault="005D4CB0" w:rsidP="005D4CB0">
      <w:pPr>
        <w:spacing w:after="120" w:line="240" w:lineRule="auto"/>
        <w:rPr>
          <w:rFonts w:ascii="Palatino Linotype" w:hAnsi="Palatino Linotype"/>
          <w:i/>
        </w:rPr>
      </w:pPr>
      <w:r w:rsidRPr="00962B95">
        <w:rPr>
          <w:rFonts w:ascii="Palatino Linotype" w:hAnsi="Palatino Linotype"/>
          <w:i/>
        </w:rPr>
        <w:t>On October 25, 2016, Alex Krieger, Professo</w:t>
      </w:r>
      <w:r w:rsidR="000D33C8">
        <w:rPr>
          <w:rFonts w:ascii="Palatino Linotype" w:hAnsi="Palatino Linotype"/>
          <w:i/>
        </w:rPr>
        <w:t>r in Practice of Urban Design at</w:t>
      </w:r>
      <w:r w:rsidRPr="00962B95">
        <w:rPr>
          <w:rFonts w:ascii="Palatino Linotype" w:hAnsi="Palatino Linotype"/>
          <w:i/>
        </w:rPr>
        <w:t xml:space="preserve"> the Harvard Un</w:t>
      </w:r>
      <w:r>
        <w:rPr>
          <w:rFonts w:ascii="Palatino Linotype" w:hAnsi="Palatino Linotype"/>
          <w:i/>
        </w:rPr>
        <w:t>iversity G</w:t>
      </w:r>
      <w:r w:rsidRPr="00962B95">
        <w:rPr>
          <w:rFonts w:ascii="Palatino Linotype" w:hAnsi="Palatino Linotype"/>
          <w:i/>
        </w:rPr>
        <w:t>rad</w:t>
      </w:r>
      <w:r w:rsidR="000D33C8">
        <w:rPr>
          <w:rFonts w:ascii="Palatino Linotype" w:hAnsi="Palatino Linotype"/>
          <w:i/>
        </w:rPr>
        <w:t>uate S</w:t>
      </w:r>
      <w:r>
        <w:rPr>
          <w:rFonts w:ascii="Palatino Linotype" w:hAnsi="Palatino Linotype"/>
          <w:i/>
        </w:rPr>
        <w:t>chool of Design, delivered an illustrated lecture to</w:t>
      </w:r>
      <w:r w:rsidRPr="00962B95">
        <w:rPr>
          <w:rFonts w:ascii="Palatino Linotype" w:hAnsi="Palatino Linotype"/>
          <w:i/>
        </w:rPr>
        <w:t xml:space="preserve"> an audience of some 300 in the Portland High School Auditorium</w:t>
      </w:r>
      <w:r>
        <w:rPr>
          <w:rFonts w:ascii="Palatino Linotype" w:hAnsi="Palatino Linotype"/>
          <w:i/>
        </w:rPr>
        <w:t>. A reception followed.</w:t>
      </w:r>
      <w:r w:rsidRPr="00962B95">
        <w:rPr>
          <w:rFonts w:ascii="Palatino Linotype" w:hAnsi="Palatino Linotype"/>
          <w:i/>
        </w:rPr>
        <w:t xml:space="preserve"> </w:t>
      </w:r>
    </w:p>
    <w:p w:rsidR="005D4CB0" w:rsidRDefault="005D4CB0" w:rsidP="005D4CB0">
      <w:pPr>
        <w:spacing w:after="120" w:line="240" w:lineRule="auto"/>
        <w:rPr>
          <w:rFonts w:ascii="Palatino Linotype" w:hAnsi="Palatino Linotype"/>
          <w:i/>
        </w:rPr>
      </w:pPr>
      <w:r w:rsidRPr="00962B95">
        <w:rPr>
          <w:rFonts w:ascii="Palatino Linotype" w:hAnsi="Palatino Linotype"/>
          <w:i/>
        </w:rPr>
        <w:t xml:space="preserve">The event was presented </w:t>
      </w:r>
      <w:r>
        <w:rPr>
          <w:rFonts w:ascii="Palatino Linotype" w:hAnsi="Palatino Linotype"/>
          <w:i/>
        </w:rPr>
        <w:t>by the Center for Global H</w:t>
      </w:r>
      <w:r w:rsidRPr="00962B95">
        <w:rPr>
          <w:rFonts w:ascii="Palatino Linotype" w:hAnsi="Palatino Linotype"/>
          <w:i/>
        </w:rPr>
        <w:t>umanities at the University of New England</w:t>
      </w:r>
      <w:r>
        <w:rPr>
          <w:rFonts w:ascii="Palatino Linotype" w:hAnsi="Palatino Linotype"/>
          <w:i/>
        </w:rPr>
        <w:t>,</w:t>
      </w:r>
      <w:r w:rsidRPr="00962B95">
        <w:rPr>
          <w:rFonts w:ascii="Palatino Linotype" w:hAnsi="Palatino Linotype"/>
          <w:i/>
        </w:rPr>
        <w:t xml:space="preserve"> in partnership with Creative Portland and the Portland Society for Architecture, </w:t>
      </w:r>
      <w:r>
        <w:rPr>
          <w:rFonts w:ascii="Palatino Linotype" w:hAnsi="Palatino Linotype"/>
          <w:i/>
        </w:rPr>
        <w:t xml:space="preserve">and </w:t>
      </w:r>
      <w:r w:rsidRPr="00962B95">
        <w:rPr>
          <w:rFonts w:ascii="Palatino Linotype" w:hAnsi="Palatino Linotype"/>
          <w:i/>
        </w:rPr>
        <w:t>in collaboration with the Portland Regional Chamber of Commerce and Muskie</w:t>
      </w:r>
      <w:r>
        <w:rPr>
          <w:rFonts w:ascii="Palatino Linotype" w:hAnsi="Palatino Linotype"/>
          <w:i/>
        </w:rPr>
        <w:t xml:space="preserve"> School of Public Service, </w:t>
      </w:r>
      <w:r w:rsidRPr="00962B95">
        <w:rPr>
          <w:rFonts w:ascii="Palatino Linotype" w:hAnsi="Palatino Linotype"/>
          <w:i/>
        </w:rPr>
        <w:t>additional funding provided by the Press Hotel and Random Orbit.</w:t>
      </w:r>
    </w:p>
    <w:p w:rsidR="005D4CB0" w:rsidRDefault="005D4CB0" w:rsidP="005D4CB0">
      <w:pPr>
        <w:spacing w:after="120" w:line="240" w:lineRule="auto"/>
        <w:rPr>
          <w:rFonts w:ascii="Palatino Linotype" w:hAnsi="Palatino Linotype"/>
          <w:i/>
        </w:rPr>
      </w:pPr>
      <w:r>
        <w:rPr>
          <w:rFonts w:ascii="Palatino Linotype" w:hAnsi="Palatino Linotype"/>
          <w:i/>
        </w:rPr>
        <w:t>Welcoming remarks were delivered by Patrick Costin, President of the Po</w:t>
      </w:r>
      <w:r w:rsidR="000D33C8">
        <w:rPr>
          <w:rFonts w:ascii="Palatino Linotype" w:hAnsi="Palatino Linotype"/>
          <w:i/>
        </w:rPr>
        <w:t xml:space="preserve">rtland Society for Architecture. </w:t>
      </w:r>
      <w:r>
        <w:rPr>
          <w:rFonts w:ascii="Palatino Linotype" w:hAnsi="Palatino Linotype"/>
          <w:i/>
        </w:rPr>
        <w:t>Professor Anouad Majid, Director of the UNE Center for Global Humanities</w:t>
      </w:r>
      <w:r w:rsidR="000D33C8">
        <w:rPr>
          <w:rFonts w:ascii="Palatino Linotype" w:hAnsi="Palatino Linotype"/>
          <w:i/>
        </w:rPr>
        <w:t xml:space="preserve"> then</w:t>
      </w:r>
      <w:r>
        <w:rPr>
          <w:rFonts w:ascii="Palatino Linotype" w:hAnsi="Palatino Linotype"/>
          <w:i/>
        </w:rPr>
        <w:t xml:space="preserve"> introduced Professor Krieger. Following is a summary of Professor Krieger’s remarks by Richard Barringer, Emeritus Professor in the Muskie School of Public Service.</w:t>
      </w:r>
    </w:p>
    <w:p w:rsidR="005D4CB0" w:rsidRDefault="005D4CB0" w:rsidP="005D4CB0">
      <w:pPr>
        <w:spacing w:after="120" w:line="360" w:lineRule="auto"/>
        <w:rPr>
          <w:rFonts w:ascii="Palatino Linotype" w:hAnsi="Palatino Linotype"/>
        </w:rPr>
      </w:pPr>
    </w:p>
    <w:p w:rsidR="005D4CB0" w:rsidRDefault="005D4CB0" w:rsidP="005D4CB0">
      <w:pPr>
        <w:spacing w:after="120" w:line="360" w:lineRule="auto"/>
        <w:rPr>
          <w:rFonts w:ascii="Palatino Linotype" w:hAnsi="Palatino Linotype"/>
        </w:rPr>
      </w:pPr>
      <w:r>
        <w:rPr>
          <w:rFonts w:ascii="Palatino Linotype" w:hAnsi="Palatino Linotype"/>
        </w:rPr>
        <w:t xml:space="preserve">Beginning in 2008, </w:t>
      </w:r>
      <w:r w:rsidRPr="00B34601">
        <w:rPr>
          <w:rFonts w:ascii="Palatino Linotype" w:hAnsi="Palatino Linotype"/>
        </w:rPr>
        <w:t>humanity became</w:t>
      </w:r>
      <w:r>
        <w:rPr>
          <w:rFonts w:ascii="Palatino Linotype" w:hAnsi="Palatino Linotype"/>
        </w:rPr>
        <w:t xml:space="preserve"> an urban species for the first time in its long history, as more people</w:t>
      </w:r>
      <w:r w:rsidR="000D33C8">
        <w:rPr>
          <w:rFonts w:ascii="Palatino Linotype" w:hAnsi="Palatino Linotype"/>
        </w:rPr>
        <w:t xml:space="preserve"> world-wide</w:t>
      </w:r>
      <w:r>
        <w:rPr>
          <w:rFonts w:ascii="Palatino Linotype" w:hAnsi="Palatino Linotype"/>
        </w:rPr>
        <w:t xml:space="preserve"> resided in cities than in rural or suburban places. Something similar happened in the United States a little over a hundred years ago, the eventual response to which was for the nation to suburbanize under the influence of urban blight and a variety of federal policies, including interest rate subsidies, the GI Bill, and the interstate highway system. Today the suburbs are not dead, although the rate of their growth is on the decline. The question before us is, should we or will we continue to become largely an urban species? Should do a turn-about?</w:t>
      </w:r>
    </w:p>
    <w:p w:rsidR="005D4CB0" w:rsidRDefault="005D4CB0" w:rsidP="005D4CB0">
      <w:pPr>
        <w:spacing w:after="120" w:line="360" w:lineRule="auto"/>
        <w:rPr>
          <w:rFonts w:ascii="Palatino Linotype" w:hAnsi="Palatino Linotype"/>
        </w:rPr>
      </w:pPr>
      <w:r>
        <w:rPr>
          <w:rFonts w:ascii="Palatino Linotype" w:hAnsi="Palatino Linotype"/>
        </w:rPr>
        <w:t xml:space="preserve">We must ask, what are cities for, anyway? Two thousand years ago Aristotle gave an answer:  people first came to the city for security, to escape the barbarians; what they found was economic opportunity; and they stayed for “The Good Life.” Change is now happening and “propinquity,” the desire to live near other people, is now popular as the result of both lifespan and fashion trends. </w:t>
      </w:r>
    </w:p>
    <w:p w:rsidR="005D4CB0" w:rsidRPr="001819A9" w:rsidRDefault="005D4CB0" w:rsidP="005D4CB0">
      <w:pPr>
        <w:spacing w:after="120" w:line="360" w:lineRule="auto"/>
        <w:rPr>
          <w:rFonts w:ascii="Palatino Linotype" w:hAnsi="Palatino Linotype"/>
          <w:i/>
        </w:rPr>
      </w:pPr>
      <w:r>
        <w:rPr>
          <w:rFonts w:ascii="Palatino Linotype" w:hAnsi="Palatino Linotype"/>
        </w:rPr>
        <w:t xml:space="preserve">The basic purpose of life in the suburbs, or what might be called “Life by the Acre,” is family-building. But this served its purpose when the percentage of the adult population raising children was almost 60 percent; today, it is just 24 percent; and both the young and the old </w:t>
      </w:r>
      <w:r>
        <w:rPr>
          <w:rFonts w:ascii="Palatino Linotype" w:hAnsi="Palatino Linotype"/>
        </w:rPr>
        <w:lastRenderedPageBreak/>
        <w:t>today prefer what may be called “Life by the Square Foot,” with all its opportunities and amenities. Youth stay young longer even as the old stay alive longer. So, for some 75-80 percent of today’s population, life outside the city is no longer of interest.</w:t>
      </w:r>
    </w:p>
    <w:p w:rsidR="005D4CB0" w:rsidRDefault="005D4CB0" w:rsidP="005D4CB0">
      <w:pPr>
        <w:spacing w:after="120" w:line="360" w:lineRule="auto"/>
        <w:rPr>
          <w:rFonts w:ascii="Palatino Linotype" w:hAnsi="Palatino Linotype"/>
          <w:i/>
        </w:rPr>
      </w:pPr>
      <w:r w:rsidRPr="001819A9">
        <w:rPr>
          <w:rFonts w:ascii="Palatino Linotype" w:hAnsi="Palatino Linotype"/>
          <w:i/>
        </w:rPr>
        <w:t xml:space="preserve">In this setting, we must encourage our city to think about </w:t>
      </w:r>
      <w:r>
        <w:rPr>
          <w:rFonts w:ascii="Palatino Linotype" w:hAnsi="Palatino Linotype"/>
          <w:i/>
        </w:rPr>
        <w:t xml:space="preserve">its own </w:t>
      </w:r>
      <w:r w:rsidRPr="001819A9">
        <w:rPr>
          <w:rFonts w:ascii="Palatino Linotype" w:hAnsi="Palatino Linotype"/>
          <w:i/>
        </w:rPr>
        <w:t xml:space="preserve">transformation, to get past fear </w:t>
      </w:r>
      <w:r>
        <w:rPr>
          <w:rFonts w:ascii="Palatino Linotype" w:hAnsi="Palatino Linotype"/>
          <w:i/>
        </w:rPr>
        <w:t xml:space="preserve">of change </w:t>
      </w:r>
      <w:r w:rsidRPr="001819A9">
        <w:rPr>
          <w:rFonts w:ascii="Palatino Linotype" w:hAnsi="Palatino Linotype"/>
          <w:i/>
        </w:rPr>
        <w:t>and encourage growth, making sure that we realize</w:t>
      </w:r>
      <w:r>
        <w:rPr>
          <w:rFonts w:ascii="Palatino Linotype" w:hAnsi="Palatino Linotype"/>
          <w:i/>
        </w:rPr>
        <w:t xml:space="preserve"> all</w:t>
      </w:r>
      <w:r w:rsidRPr="001819A9">
        <w:rPr>
          <w:rFonts w:ascii="Palatino Linotype" w:hAnsi="Palatino Linotype"/>
          <w:i/>
        </w:rPr>
        <w:t xml:space="preserve"> </w:t>
      </w:r>
      <w:r>
        <w:rPr>
          <w:rFonts w:ascii="Palatino Linotype" w:hAnsi="Palatino Linotype"/>
          <w:i/>
        </w:rPr>
        <w:t xml:space="preserve">of </w:t>
      </w:r>
      <w:r w:rsidRPr="001819A9">
        <w:rPr>
          <w:rFonts w:ascii="Palatino Linotype" w:hAnsi="Palatino Linotype"/>
          <w:i/>
        </w:rPr>
        <w:t xml:space="preserve">its benefits! </w:t>
      </w:r>
    </w:p>
    <w:p w:rsidR="005D4CB0" w:rsidRDefault="005D4CB0" w:rsidP="005D4CB0">
      <w:pPr>
        <w:spacing w:after="120" w:line="360" w:lineRule="auto"/>
        <w:rPr>
          <w:rFonts w:ascii="Palatino Linotype" w:hAnsi="Palatino Linotype"/>
        </w:rPr>
      </w:pPr>
      <w:r>
        <w:rPr>
          <w:rFonts w:ascii="Palatino Linotype" w:hAnsi="Palatino Linotype"/>
        </w:rPr>
        <w:t>In this Second Urban Age, there are a number of useful indicators of city health:</w:t>
      </w:r>
    </w:p>
    <w:p w:rsidR="005D4CB0" w:rsidRDefault="005D4CB0" w:rsidP="005D4CB0">
      <w:pPr>
        <w:pStyle w:val="ListParagraph"/>
        <w:numPr>
          <w:ilvl w:val="0"/>
          <w:numId w:val="8"/>
        </w:numPr>
        <w:spacing w:after="120" w:line="360" w:lineRule="auto"/>
        <w:rPr>
          <w:rFonts w:ascii="Palatino Linotype" w:hAnsi="Palatino Linotype"/>
        </w:rPr>
      </w:pPr>
      <w:r w:rsidRPr="001819A9">
        <w:rPr>
          <w:rFonts w:ascii="Palatino Linotype" w:hAnsi="Palatino Linotype"/>
          <w:i/>
        </w:rPr>
        <w:t>Living First</w:t>
      </w:r>
      <w:r>
        <w:rPr>
          <w:rFonts w:ascii="Palatino Linotype" w:hAnsi="Palatino Linotype"/>
        </w:rPr>
        <w:t xml:space="preserve">, as Vancouver likes to say of itself. The key to this is a great </w:t>
      </w:r>
      <w:r w:rsidRPr="001819A9">
        <w:rPr>
          <w:rFonts w:ascii="Palatino Linotype" w:hAnsi="Palatino Linotype"/>
          <w:i/>
        </w:rPr>
        <w:t xml:space="preserve">range </w:t>
      </w:r>
      <w:r>
        <w:rPr>
          <w:rFonts w:ascii="Palatino Linotype" w:hAnsi="Palatino Linotype"/>
        </w:rPr>
        <w:t xml:space="preserve">of housing types (including three deck’ers, a great invention) that the neighborhoods must </w:t>
      </w:r>
      <w:r w:rsidRPr="001819A9">
        <w:rPr>
          <w:rFonts w:ascii="Palatino Linotype" w:hAnsi="Palatino Linotype"/>
        </w:rPr>
        <w:t>support.</w:t>
      </w:r>
    </w:p>
    <w:p w:rsidR="005D4CB0" w:rsidRDefault="005D4CB0" w:rsidP="005D4CB0">
      <w:pPr>
        <w:pStyle w:val="ListParagraph"/>
        <w:numPr>
          <w:ilvl w:val="0"/>
          <w:numId w:val="8"/>
        </w:numPr>
        <w:spacing w:after="120" w:line="360" w:lineRule="auto"/>
        <w:rPr>
          <w:rFonts w:ascii="Palatino Linotype" w:hAnsi="Palatino Linotype"/>
        </w:rPr>
      </w:pPr>
      <w:r w:rsidRPr="00A11529">
        <w:rPr>
          <w:rFonts w:ascii="Palatino Linotype" w:hAnsi="Palatino Linotype"/>
          <w:i/>
        </w:rPr>
        <w:t>Ed’s and Med’s</w:t>
      </w:r>
      <w:r>
        <w:rPr>
          <w:rFonts w:ascii="Palatino Linotype" w:hAnsi="Palatino Linotype"/>
        </w:rPr>
        <w:t>, or education and hospitals as leaders of urban economies and lifestyles. Cite Qatar and Dubai as examples.</w:t>
      </w:r>
    </w:p>
    <w:p w:rsidR="005D4CB0" w:rsidRDefault="005D4CB0" w:rsidP="005D4CB0">
      <w:pPr>
        <w:pStyle w:val="ListParagraph"/>
        <w:numPr>
          <w:ilvl w:val="0"/>
          <w:numId w:val="8"/>
        </w:numPr>
        <w:spacing w:after="120" w:line="360" w:lineRule="auto"/>
        <w:rPr>
          <w:rFonts w:ascii="Palatino Linotype" w:hAnsi="Palatino Linotype"/>
        </w:rPr>
      </w:pPr>
      <w:r w:rsidRPr="00A11529">
        <w:rPr>
          <w:rFonts w:ascii="Palatino Linotype" w:hAnsi="Palatino Linotype"/>
          <w:i/>
        </w:rPr>
        <w:t>Mixed-use neighborhoods</w:t>
      </w:r>
      <w:r>
        <w:rPr>
          <w:rFonts w:ascii="Palatino Linotype" w:hAnsi="Palatino Linotype"/>
        </w:rPr>
        <w:t>, with strong emphasis on creative re-use of historic structures;</w:t>
      </w:r>
    </w:p>
    <w:p w:rsidR="005D4CB0" w:rsidRDefault="005D4CB0" w:rsidP="005D4CB0">
      <w:pPr>
        <w:pStyle w:val="ListParagraph"/>
        <w:numPr>
          <w:ilvl w:val="0"/>
          <w:numId w:val="8"/>
        </w:numPr>
        <w:spacing w:after="120" w:line="360" w:lineRule="auto"/>
        <w:rPr>
          <w:rFonts w:ascii="Palatino Linotype" w:hAnsi="Palatino Linotype"/>
        </w:rPr>
      </w:pPr>
      <w:r w:rsidRPr="00A11529">
        <w:rPr>
          <w:rFonts w:ascii="Palatino Linotype" w:hAnsi="Palatino Linotype"/>
          <w:i/>
        </w:rPr>
        <w:t>Compact development</w:t>
      </w:r>
      <w:r>
        <w:rPr>
          <w:rFonts w:ascii="Palatino Linotype" w:hAnsi="Palatino Linotype"/>
        </w:rPr>
        <w:t>, consolidated and concentrated.</w:t>
      </w:r>
    </w:p>
    <w:p w:rsidR="005D4CB0" w:rsidRDefault="005D4CB0" w:rsidP="005D4CB0">
      <w:pPr>
        <w:pStyle w:val="ListParagraph"/>
        <w:numPr>
          <w:ilvl w:val="0"/>
          <w:numId w:val="8"/>
        </w:numPr>
        <w:spacing w:after="120" w:line="360" w:lineRule="auto"/>
        <w:rPr>
          <w:rFonts w:ascii="Palatino Linotype" w:hAnsi="Palatino Linotype"/>
        </w:rPr>
      </w:pPr>
      <w:r w:rsidRPr="00A11529">
        <w:rPr>
          <w:rFonts w:ascii="Palatino Linotype" w:hAnsi="Palatino Linotype"/>
          <w:i/>
        </w:rPr>
        <w:t>Overc</w:t>
      </w:r>
      <w:r>
        <w:rPr>
          <w:rFonts w:ascii="Palatino Linotype" w:hAnsi="Palatino Linotype"/>
          <w:i/>
        </w:rPr>
        <w:t xml:space="preserve">ome </w:t>
      </w:r>
      <w:r w:rsidRPr="00A11529">
        <w:rPr>
          <w:rFonts w:ascii="Palatino Linotype" w:hAnsi="Palatino Linotype"/>
          <w:i/>
        </w:rPr>
        <w:t>the gaps</w:t>
      </w:r>
      <w:r>
        <w:rPr>
          <w:rFonts w:ascii="Palatino Linotype" w:hAnsi="Palatino Linotype"/>
        </w:rPr>
        <w:t xml:space="preserve"> in development, fill them in! </w:t>
      </w:r>
    </w:p>
    <w:p w:rsidR="005D4CB0" w:rsidRDefault="005D4CB0" w:rsidP="005D4CB0">
      <w:pPr>
        <w:pStyle w:val="ListParagraph"/>
        <w:numPr>
          <w:ilvl w:val="0"/>
          <w:numId w:val="8"/>
        </w:numPr>
        <w:spacing w:after="120" w:line="360" w:lineRule="auto"/>
        <w:rPr>
          <w:rFonts w:ascii="Palatino Linotype" w:hAnsi="Palatino Linotype"/>
        </w:rPr>
      </w:pPr>
      <w:r>
        <w:rPr>
          <w:rFonts w:ascii="Palatino Linotype" w:hAnsi="Palatino Linotype"/>
          <w:i/>
        </w:rPr>
        <w:t xml:space="preserve">Invest in Culture, </w:t>
      </w:r>
      <w:r>
        <w:rPr>
          <w:rFonts w:ascii="Palatino Linotype" w:hAnsi="Palatino Linotype"/>
        </w:rPr>
        <w:t>a diversity and lots of it, to create fun places to go and be!</w:t>
      </w:r>
    </w:p>
    <w:p w:rsidR="005D4CB0" w:rsidRDefault="005D4CB0" w:rsidP="005D4CB0">
      <w:pPr>
        <w:pStyle w:val="ListParagraph"/>
        <w:numPr>
          <w:ilvl w:val="0"/>
          <w:numId w:val="8"/>
        </w:numPr>
        <w:spacing w:after="120" w:line="360" w:lineRule="auto"/>
        <w:rPr>
          <w:rFonts w:ascii="Palatino Linotype" w:hAnsi="Palatino Linotype"/>
        </w:rPr>
      </w:pPr>
      <w:r>
        <w:rPr>
          <w:rFonts w:ascii="Palatino Linotype" w:hAnsi="Palatino Linotype"/>
          <w:i/>
        </w:rPr>
        <w:t>Alternative Forms of Mobility,</w:t>
      </w:r>
      <w:r>
        <w:rPr>
          <w:rFonts w:ascii="Palatino Linotype" w:hAnsi="Palatino Linotype"/>
        </w:rPr>
        <w:t xml:space="preserve"> like Pittsburgh’s ferries and cable car, and understand transit as a form of social learning and sociability; </w:t>
      </w:r>
    </w:p>
    <w:p w:rsidR="005D4CB0" w:rsidRDefault="005D4CB0" w:rsidP="005D4CB0">
      <w:pPr>
        <w:pStyle w:val="ListParagraph"/>
        <w:numPr>
          <w:ilvl w:val="0"/>
          <w:numId w:val="8"/>
        </w:numPr>
        <w:spacing w:after="120" w:line="360" w:lineRule="auto"/>
        <w:rPr>
          <w:rFonts w:ascii="Palatino Linotype" w:hAnsi="Palatino Linotype"/>
        </w:rPr>
      </w:pPr>
      <w:r>
        <w:rPr>
          <w:rFonts w:ascii="Palatino Linotype" w:hAnsi="Palatino Linotype"/>
          <w:i/>
        </w:rPr>
        <w:t xml:space="preserve">Greening, </w:t>
      </w:r>
      <w:r>
        <w:rPr>
          <w:rFonts w:ascii="Palatino Linotype" w:hAnsi="Palatino Linotype"/>
        </w:rPr>
        <w:t>like Boston’s Emerald Necklace: pursue conservation, access to greenways, tree plantings, etc.; and</w:t>
      </w:r>
    </w:p>
    <w:p w:rsidR="005D4CB0" w:rsidRPr="00A11529" w:rsidRDefault="005D4CB0" w:rsidP="005D4CB0">
      <w:pPr>
        <w:pStyle w:val="ListParagraph"/>
        <w:numPr>
          <w:ilvl w:val="0"/>
          <w:numId w:val="8"/>
        </w:numPr>
        <w:spacing w:after="120" w:line="360" w:lineRule="auto"/>
        <w:rPr>
          <w:rFonts w:ascii="Palatino Linotype" w:hAnsi="Palatino Linotype"/>
          <w:i/>
        </w:rPr>
      </w:pPr>
      <w:r w:rsidRPr="00A11529">
        <w:rPr>
          <w:rFonts w:ascii="Palatino Linotype" w:hAnsi="Palatino Linotype"/>
          <w:i/>
        </w:rPr>
        <w:t>Work at it!</w:t>
      </w:r>
      <w:r>
        <w:rPr>
          <w:rFonts w:ascii="Palatino Linotype" w:hAnsi="Palatino Linotype"/>
          <w:i/>
        </w:rPr>
        <w:t xml:space="preserve"> </w:t>
      </w:r>
      <w:r>
        <w:rPr>
          <w:rFonts w:ascii="Palatino Linotype" w:hAnsi="Palatino Linotype"/>
        </w:rPr>
        <w:t>Authenticity and distinctiveness matter! “Keep Portland Weird!”</w:t>
      </w:r>
    </w:p>
    <w:p w:rsidR="005D4CB0" w:rsidRPr="00D143F8" w:rsidRDefault="005D4CB0" w:rsidP="005D4CB0">
      <w:pPr>
        <w:spacing w:after="120" w:line="360" w:lineRule="auto"/>
        <w:rPr>
          <w:rFonts w:ascii="Palatino Linotype" w:hAnsi="Palatino Linotype"/>
        </w:rPr>
      </w:pPr>
      <w:r>
        <w:rPr>
          <w:rFonts w:ascii="Palatino Linotype" w:hAnsi="Palatino Linotype"/>
        </w:rPr>
        <w:t xml:space="preserve">Finally, a special word about the proposed removal and redevelopment of 1-295 from Congress St. to Tukey’s Bridge: Proceed, go for it! It may take 20 years, but its removal will create a Better City, a Better Life for All. See Shanghai, China, Seoul, Korea, and Washington D.C for comparable redevelopments of urban highways. In each case, “Wonderful environments bring great investment!” We must re-embrace our city and make of it a great environment for people to live, work, visit, and play.  </w:t>
      </w:r>
    </w:p>
    <w:p w:rsidR="005D4CB0" w:rsidRDefault="005D4CB0" w:rsidP="005D4CB0">
      <w:pPr>
        <w:rPr>
          <w:rFonts w:ascii="Palatino Linotype" w:hAnsi="Palatino Linotype"/>
        </w:rPr>
      </w:pPr>
      <w:r w:rsidRPr="006E6EBE">
        <w:rPr>
          <w:rFonts w:ascii="Palatino Linotype" w:hAnsi="Palatino Linotype"/>
          <w:u w:val="single"/>
        </w:rPr>
        <w:t>In response to audience questions</w:t>
      </w:r>
      <w:r>
        <w:rPr>
          <w:rFonts w:ascii="Palatino Linotype" w:hAnsi="Palatino Linotype"/>
        </w:rPr>
        <w:t>, Prof. Krieger remarked:</w:t>
      </w:r>
    </w:p>
    <w:p w:rsidR="005D4CB0" w:rsidRPr="00202D44" w:rsidRDefault="005D4CB0" w:rsidP="005D4CB0">
      <w:pPr>
        <w:rPr>
          <w:rFonts w:ascii="Palatino Linotype" w:hAnsi="Palatino Linotype"/>
        </w:rPr>
      </w:pPr>
      <w:r w:rsidRPr="006E6EBE">
        <w:rPr>
          <w:rFonts w:ascii="Palatino Linotype" w:hAnsi="Palatino Linotype"/>
          <w:i/>
        </w:rPr>
        <w:t xml:space="preserve"> </w:t>
      </w:r>
      <w:r>
        <w:rPr>
          <w:rFonts w:ascii="Palatino Linotype" w:hAnsi="Palatino Linotype"/>
          <w:i/>
        </w:rPr>
        <w:t>H</w:t>
      </w:r>
      <w:r w:rsidRPr="00875E57">
        <w:rPr>
          <w:rFonts w:ascii="Palatino Linotype" w:hAnsi="Palatino Linotype"/>
          <w:i/>
        </w:rPr>
        <w:t>ousing</w:t>
      </w:r>
      <w:r>
        <w:rPr>
          <w:rFonts w:ascii="Palatino Linotype" w:hAnsi="Palatino Linotype"/>
          <w:i/>
        </w:rPr>
        <w:t xml:space="preserve"> affordable to all. </w:t>
      </w:r>
      <w:r>
        <w:rPr>
          <w:rFonts w:ascii="Palatino Linotype" w:hAnsi="Palatino Linotype"/>
        </w:rPr>
        <w:t xml:space="preserve">There is a great challenge and downside to the urban renaissance, in that people need to afford to take advantage of the city. A variety of policies are needed, and we </w:t>
      </w:r>
      <w:r>
        <w:rPr>
          <w:rFonts w:ascii="Palatino Linotype" w:hAnsi="Palatino Linotype"/>
        </w:rPr>
        <w:lastRenderedPageBreak/>
        <w:t>must be more flexible in what we will allow. Fully h</w:t>
      </w:r>
      <w:r w:rsidRPr="00202D44">
        <w:rPr>
          <w:rFonts w:ascii="Palatino Linotype" w:hAnsi="Palatino Linotype"/>
        </w:rPr>
        <w:t>alf the new</w:t>
      </w:r>
      <w:r>
        <w:rPr>
          <w:rFonts w:ascii="Palatino Linotype" w:hAnsi="Palatino Linotype"/>
        </w:rPr>
        <w:t xml:space="preserve"> </w:t>
      </w:r>
      <w:r w:rsidRPr="00202D44">
        <w:rPr>
          <w:rFonts w:ascii="Palatino Linotype" w:hAnsi="Palatino Linotype"/>
        </w:rPr>
        <w:t>housing in Boston</w:t>
      </w:r>
      <w:r>
        <w:rPr>
          <w:rFonts w:ascii="Palatino Linotype" w:hAnsi="Palatino Linotype"/>
        </w:rPr>
        <w:t xml:space="preserve"> now</w:t>
      </w:r>
      <w:r w:rsidRPr="00202D44">
        <w:rPr>
          <w:rFonts w:ascii="Palatino Linotype" w:hAnsi="Palatino Linotype"/>
        </w:rPr>
        <w:t xml:space="preserve"> has to be priced for working families. </w:t>
      </w:r>
      <w:r>
        <w:rPr>
          <w:rFonts w:ascii="Palatino Linotype" w:hAnsi="Palatino Linotype"/>
        </w:rPr>
        <w:t xml:space="preserve">There is resistance to change in our cities that makes it harder to accommodate more people. We </w:t>
      </w:r>
      <w:r w:rsidRPr="00D95E48">
        <w:rPr>
          <w:rFonts w:ascii="Palatino Linotype" w:hAnsi="Palatino Linotype"/>
        </w:rPr>
        <w:t xml:space="preserve">must </w:t>
      </w:r>
      <w:r>
        <w:rPr>
          <w:rFonts w:ascii="Palatino Linotype" w:hAnsi="Palatino Linotype"/>
        </w:rPr>
        <w:t>be more generous!</w:t>
      </w:r>
      <w:r>
        <w:rPr>
          <w:rFonts w:ascii="Palatino Linotype" w:hAnsi="Palatino Linotype"/>
          <w:i/>
        </w:rPr>
        <w:t xml:space="preserve"> </w:t>
      </w:r>
    </w:p>
    <w:p w:rsidR="005D4CB0" w:rsidRPr="00D95E48" w:rsidRDefault="005D4CB0" w:rsidP="005D4CB0">
      <w:pPr>
        <w:rPr>
          <w:rFonts w:ascii="Palatino Linotype" w:hAnsi="Palatino Linotype"/>
        </w:rPr>
      </w:pPr>
      <w:r w:rsidRPr="00E93A57">
        <w:rPr>
          <w:rFonts w:ascii="Palatino Linotype" w:hAnsi="Palatino Linotype"/>
          <w:i/>
        </w:rPr>
        <w:t>Be incremental</w:t>
      </w:r>
      <w:r w:rsidRPr="00E93A57">
        <w:rPr>
          <w:rFonts w:ascii="Palatino Linotype" w:hAnsi="Palatino Linotype"/>
        </w:rPr>
        <w:t xml:space="preserve">. </w:t>
      </w:r>
      <w:r w:rsidRPr="00E93A57">
        <w:rPr>
          <w:rFonts w:ascii="Palatino Linotype" w:hAnsi="Palatino Linotype"/>
          <w:i/>
        </w:rPr>
        <w:t xml:space="preserve"> </w:t>
      </w:r>
      <w:r>
        <w:rPr>
          <w:rFonts w:ascii="Palatino Linotype" w:hAnsi="Palatino Linotype"/>
        </w:rPr>
        <w:t xml:space="preserve">Building big things in small cities is very hard; instead, try a little more height, infill, etc. </w:t>
      </w:r>
      <w:r w:rsidRPr="00E93A57">
        <w:rPr>
          <w:rFonts w:ascii="Palatino Linotype" w:hAnsi="Palatino Linotype"/>
          <w:i/>
        </w:rPr>
        <w:t xml:space="preserve">  </w:t>
      </w:r>
    </w:p>
    <w:p w:rsidR="005D4CB0" w:rsidRDefault="005D4CB0" w:rsidP="005D4CB0">
      <w:pPr>
        <w:rPr>
          <w:rFonts w:ascii="Palatino Linotype" w:hAnsi="Palatino Linotype"/>
        </w:rPr>
      </w:pPr>
      <w:r>
        <w:rPr>
          <w:rFonts w:ascii="Palatino Linotype" w:hAnsi="Palatino Linotype"/>
          <w:i/>
        </w:rPr>
        <w:t xml:space="preserve">Innovation and diversity matter. </w:t>
      </w:r>
      <w:r w:rsidRPr="00E93A57">
        <w:rPr>
          <w:rFonts w:ascii="Palatino Linotype" w:hAnsi="Palatino Linotype"/>
        </w:rPr>
        <w:t>Support individual innovators, invite them in, make them welcome.</w:t>
      </w:r>
    </w:p>
    <w:p w:rsidR="005D4CB0" w:rsidRDefault="005D4CB0" w:rsidP="005D4CB0">
      <w:pPr>
        <w:pBdr>
          <w:bottom w:val="single" w:sz="12" w:space="31" w:color="auto"/>
        </w:pBdr>
        <w:spacing w:after="120" w:line="360" w:lineRule="auto"/>
        <w:rPr>
          <w:rFonts w:ascii="Palatino Linotype" w:hAnsi="Palatino Linotype"/>
        </w:rPr>
      </w:pPr>
      <w:r w:rsidRPr="00E93A57">
        <w:rPr>
          <w:rFonts w:ascii="Palatino Linotype" w:hAnsi="Palatino Linotype"/>
          <w:i/>
        </w:rPr>
        <w:t>Jobs Follow People</w:t>
      </w:r>
      <w:r>
        <w:rPr>
          <w:rFonts w:ascii="Palatino Linotype" w:hAnsi="Palatino Linotype"/>
        </w:rPr>
        <w:t>. Job opportunities go where the talent is, where the people are. Just look at all of America, as jobs went to the suburbs in the 1960s and 70s, following the population shift. Rtes. 128 and 495 in Massachusetts are examples.</w:t>
      </w:r>
    </w:p>
    <w:p w:rsidR="005D4CB0" w:rsidRPr="006E6EBE" w:rsidRDefault="005D4CB0" w:rsidP="005D4CB0">
      <w:pPr>
        <w:pBdr>
          <w:bottom w:val="single" w:sz="12" w:space="31" w:color="auto"/>
        </w:pBdr>
        <w:spacing w:after="120" w:line="360" w:lineRule="auto"/>
        <w:rPr>
          <w:rFonts w:ascii="Palatino Linotype" w:hAnsi="Palatino Linotype"/>
        </w:rPr>
      </w:pPr>
      <w:r>
        <w:rPr>
          <w:rFonts w:ascii="Palatino Linotype" w:hAnsi="Palatino Linotype"/>
        </w:rPr>
        <w:t>Thank you! (Prolonged applause!)</w:t>
      </w:r>
    </w:p>
    <w:p w:rsidR="005D4CB0" w:rsidRDefault="005D4CB0" w:rsidP="005D4CB0">
      <w:pPr>
        <w:rPr>
          <w:rFonts w:ascii="Palatino Linotype" w:hAnsi="Palatino Linotype"/>
        </w:rPr>
      </w:pPr>
    </w:p>
    <w:p w:rsidR="005D4CB0" w:rsidRPr="00E93A57" w:rsidRDefault="005D4CB0" w:rsidP="005D4CB0">
      <w:pPr>
        <w:rPr>
          <w:rFonts w:ascii="Palatino Linotype" w:hAnsi="Palatino Linotype"/>
          <w:i/>
        </w:rPr>
      </w:pPr>
    </w:p>
    <w:p w:rsidR="00080622" w:rsidRPr="008761D6" w:rsidRDefault="00080622" w:rsidP="00080622">
      <w:pPr>
        <w:spacing w:after="0" w:line="240" w:lineRule="auto"/>
        <w:rPr>
          <w:rFonts w:ascii="Palatino Linotype" w:hAnsi="Palatino Linotype"/>
          <w:b/>
          <w:sz w:val="28"/>
          <w:szCs w:val="28"/>
        </w:rPr>
      </w:pPr>
      <w:r w:rsidRPr="008761D6">
        <w:rPr>
          <w:rFonts w:ascii="Palatino Linotype" w:hAnsi="Palatino Linotype"/>
          <w:b/>
          <w:sz w:val="28"/>
          <w:szCs w:val="28"/>
        </w:rPr>
        <w:t xml:space="preserve"> </w:t>
      </w:r>
    </w:p>
    <w:p w:rsidR="00080622" w:rsidRPr="00266244" w:rsidRDefault="00080622" w:rsidP="00080622">
      <w:pPr>
        <w:spacing w:after="0" w:line="240" w:lineRule="auto"/>
        <w:rPr>
          <w:rFonts w:ascii="Palatino Linotype" w:hAnsi="Palatino Linotype"/>
        </w:rPr>
      </w:pPr>
    </w:p>
    <w:sectPr w:rsidR="00080622" w:rsidRPr="0026624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FE" w:rsidRDefault="00A516FE" w:rsidP="00FD20D3">
      <w:pPr>
        <w:spacing w:after="0" w:line="240" w:lineRule="auto"/>
      </w:pPr>
      <w:r>
        <w:separator/>
      </w:r>
    </w:p>
  </w:endnote>
  <w:endnote w:type="continuationSeparator" w:id="0">
    <w:p w:rsidR="00A516FE" w:rsidRDefault="00A516FE" w:rsidP="00FD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37736"/>
      <w:docPartObj>
        <w:docPartGallery w:val="Page Numbers (Bottom of Page)"/>
        <w:docPartUnique/>
      </w:docPartObj>
    </w:sdtPr>
    <w:sdtEndPr>
      <w:rPr>
        <w:noProof/>
      </w:rPr>
    </w:sdtEndPr>
    <w:sdtContent>
      <w:p w:rsidR="00D020EE" w:rsidRDefault="00AB7941">
        <w:pPr>
          <w:pStyle w:val="Footer"/>
          <w:jc w:val="center"/>
        </w:pPr>
        <w:r>
          <w:fldChar w:fldCharType="begin"/>
        </w:r>
        <w:r>
          <w:instrText xml:space="preserve"> PAGE   \* MERGEFORMAT </w:instrText>
        </w:r>
        <w:r>
          <w:fldChar w:fldCharType="separate"/>
        </w:r>
        <w:r w:rsidR="006F3CEE">
          <w:rPr>
            <w:noProof/>
          </w:rPr>
          <w:t>5</w:t>
        </w:r>
        <w:r>
          <w:rPr>
            <w:noProof/>
          </w:rPr>
          <w:fldChar w:fldCharType="end"/>
        </w:r>
      </w:p>
    </w:sdtContent>
  </w:sdt>
  <w:p w:rsidR="00D020EE" w:rsidRDefault="00A51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FE" w:rsidRDefault="00A516FE" w:rsidP="00FD20D3">
      <w:pPr>
        <w:spacing w:after="0" w:line="240" w:lineRule="auto"/>
      </w:pPr>
      <w:r>
        <w:separator/>
      </w:r>
    </w:p>
  </w:footnote>
  <w:footnote w:type="continuationSeparator" w:id="0">
    <w:p w:rsidR="00A516FE" w:rsidRDefault="00A516FE" w:rsidP="00FD20D3">
      <w:pPr>
        <w:spacing w:after="0" w:line="240" w:lineRule="auto"/>
      </w:pPr>
      <w:r>
        <w:continuationSeparator/>
      </w:r>
    </w:p>
  </w:footnote>
  <w:footnote w:id="1">
    <w:p w:rsidR="00C41B5C" w:rsidRPr="00676378" w:rsidRDefault="00C41B5C" w:rsidP="00C41B5C">
      <w:pPr>
        <w:pStyle w:val="FootnoteText"/>
        <w:rPr>
          <w:rFonts w:ascii="Palatino Linotype" w:hAnsi="Palatino Linotype"/>
          <w:sz w:val="18"/>
          <w:szCs w:val="18"/>
        </w:rPr>
      </w:pPr>
      <w:r w:rsidRPr="00676378">
        <w:rPr>
          <w:rStyle w:val="FootnoteReference"/>
          <w:rFonts w:ascii="Palatino Linotype" w:hAnsi="Palatino Linotype"/>
          <w:sz w:val="18"/>
          <w:szCs w:val="18"/>
        </w:rPr>
        <w:footnoteRef/>
      </w:r>
      <w:r>
        <w:rPr>
          <w:rFonts w:ascii="Palatino Linotype" w:hAnsi="Palatino Linotype"/>
          <w:sz w:val="18"/>
          <w:szCs w:val="18"/>
        </w:rPr>
        <w:t xml:space="preserve"> Th</w:t>
      </w:r>
      <w:r w:rsidR="002376EC">
        <w:rPr>
          <w:rFonts w:ascii="Palatino Linotype" w:hAnsi="Palatino Linotype"/>
          <w:sz w:val="18"/>
          <w:szCs w:val="18"/>
        </w:rPr>
        <w:t xml:space="preserve">is collaboration is a follow-on </w:t>
      </w:r>
      <w:r>
        <w:rPr>
          <w:rFonts w:ascii="Palatino Linotype" w:hAnsi="Palatino Linotype"/>
          <w:sz w:val="18"/>
          <w:szCs w:val="18"/>
        </w:rPr>
        <w:t xml:space="preserve">to the very successful conference, </w:t>
      </w:r>
      <w:r w:rsidRPr="006C6164">
        <w:rPr>
          <w:rFonts w:ascii="Palatino Linotype" w:hAnsi="Palatino Linotype"/>
          <w:i/>
          <w:sz w:val="18"/>
          <w:szCs w:val="18"/>
        </w:rPr>
        <w:t xml:space="preserve">Challenge </w:t>
      </w:r>
      <w:r>
        <w:rPr>
          <w:rFonts w:ascii="Palatino Linotype" w:hAnsi="Palatino Linotype"/>
          <w:i/>
          <w:sz w:val="18"/>
          <w:szCs w:val="18"/>
        </w:rPr>
        <w:t>and Change: Are We Loving Portland to Death</w:t>
      </w:r>
      <w:r w:rsidR="00686C1C">
        <w:rPr>
          <w:rFonts w:ascii="Palatino Linotype" w:hAnsi="Palatino Linotype"/>
          <w:i/>
          <w:sz w:val="18"/>
          <w:szCs w:val="18"/>
        </w:rPr>
        <w:t xml:space="preserve">?” </w:t>
      </w:r>
      <w:r>
        <w:rPr>
          <w:rFonts w:ascii="Palatino Linotype" w:hAnsi="Palatino Linotype"/>
          <w:sz w:val="18"/>
          <w:szCs w:val="18"/>
        </w:rPr>
        <w:t xml:space="preserve">organized in Fall 2015 by </w:t>
      </w:r>
      <w:r w:rsidRPr="00EB438F">
        <w:rPr>
          <w:rFonts w:ascii="Palatino Linotype" w:hAnsi="Palatino Linotype"/>
          <w:sz w:val="18"/>
          <w:szCs w:val="18"/>
        </w:rPr>
        <w:t>Creative Portland and the Portland Society for Architecture</w:t>
      </w:r>
      <w:r>
        <w:rPr>
          <w:rFonts w:ascii="Palatino Linotype" w:hAnsi="Palatino Linotype"/>
          <w:sz w:val="18"/>
          <w:szCs w:val="18"/>
        </w:rPr>
        <w:t>.</w:t>
      </w:r>
      <w:r w:rsidRPr="00676378">
        <w:rPr>
          <w:rFonts w:ascii="Palatino Linotype" w:hAnsi="Palatino Linotype"/>
          <w:sz w:val="18"/>
          <w:szCs w:val="18"/>
        </w:rPr>
        <w:t xml:space="preserve"> </w:t>
      </w:r>
      <w:r>
        <w:rPr>
          <w:rFonts w:ascii="Palatino Linotype" w:hAnsi="Palatino Linotype"/>
          <w:sz w:val="18"/>
          <w:szCs w:val="18"/>
        </w:rPr>
        <w:t xml:space="preserve">The </w:t>
      </w:r>
      <w:r w:rsidRPr="00676378">
        <w:rPr>
          <w:rFonts w:ascii="Palatino Linotype" w:hAnsi="Palatino Linotype"/>
          <w:sz w:val="18"/>
          <w:szCs w:val="18"/>
        </w:rPr>
        <w:t>sev</w:t>
      </w:r>
      <w:r>
        <w:rPr>
          <w:rFonts w:ascii="Palatino Linotype" w:hAnsi="Palatino Linotype"/>
          <w:sz w:val="18"/>
          <w:szCs w:val="18"/>
        </w:rPr>
        <w:t>eral</w:t>
      </w:r>
      <w:r w:rsidR="00686C1C">
        <w:rPr>
          <w:rFonts w:ascii="Palatino Linotype" w:hAnsi="Palatino Linotype"/>
          <w:sz w:val="18"/>
          <w:szCs w:val="18"/>
        </w:rPr>
        <w:t xml:space="preserve"> organizations involved in the </w:t>
      </w:r>
      <w:r>
        <w:rPr>
          <w:rFonts w:ascii="Palatino Linotype" w:hAnsi="Palatino Linotype"/>
          <w:sz w:val="18"/>
          <w:szCs w:val="18"/>
        </w:rPr>
        <w:t>collaboration</w:t>
      </w:r>
      <w:r w:rsidRPr="00676378">
        <w:rPr>
          <w:rFonts w:ascii="Palatino Linotype" w:hAnsi="Palatino Linotype"/>
          <w:sz w:val="18"/>
          <w:szCs w:val="18"/>
        </w:rPr>
        <w:t xml:space="preserve"> intend to advocate for and </w:t>
      </w:r>
      <w:r w:rsidR="00065837">
        <w:rPr>
          <w:rFonts w:ascii="Palatino Linotype" w:hAnsi="Palatino Linotype"/>
          <w:sz w:val="18"/>
          <w:szCs w:val="18"/>
        </w:rPr>
        <w:t>participate in implementing</w:t>
      </w:r>
      <w:r w:rsidRPr="00676378">
        <w:rPr>
          <w:rFonts w:ascii="Palatino Linotype" w:hAnsi="Palatino Linotype"/>
          <w:sz w:val="18"/>
          <w:szCs w:val="18"/>
        </w:rPr>
        <w:t xml:space="preserve"> the</w:t>
      </w:r>
      <w:r>
        <w:rPr>
          <w:rFonts w:ascii="Palatino Linotype" w:hAnsi="Palatino Linotype"/>
          <w:sz w:val="18"/>
          <w:szCs w:val="18"/>
        </w:rPr>
        <w:t xml:space="preserve"> </w:t>
      </w:r>
      <w:r w:rsidR="00065837">
        <w:rPr>
          <w:rFonts w:ascii="Palatino Linotype" w:hAnsi="Palatino Linotype"/>
          <w:sz w:val="18"/>
          <w:szCs w:val="18"/>
        </w:rPr>
        <w:t xml:space="preserve">workforce and </w:t>
      </w:r>
      <w:r>
        <w:rPr>
          <w:rFonts w:ascii="Palatino Linotype" w:hAnsi="Palatino Linotype"/>
          <w:sz w:val="18"/>
          <w:szCs w:val="18"/>
        </w:rPr>
        <w:t>urban design</w:t>
      </w:r>
      <w:r w:rsidR="00065837">
        <w:rPr>
          <w:rFonts w:ascii="Palatino Linotype" w:hAnsi="Palatino Linotype"/>
          <w:sz w:val="18"/>
          <w:szCs w:val="18"/>
        </w:rPr>
        <w:t xml:space="preserve"> concepts and </w:t>
      </w:r>
      <w:r w:rsidRPr="00676378">
        <w:rPr>
          <w:rFonts w:ascii="Palatino Linotype" w:hAnsi="Palatino Linotype"/>
          <w:sz w:val="18"/>
          <w:szCs w:val="18"/>
        </w:rPr>
        <w:t>recommendations</w:t>
      </w:r>
      <w:r w:rsidR="00065837">
        <w:rPr>
          <w:rFonts w:ascii="Palatino Linotype" w:hAnsi="Palatino Linotype"/>
          <w:sz w:val="18"/>
          <w:szCs w:val="18"/>
        </w:rPr>
        <w:t xml:space="preserve"> developed here</w:t>
      </w:r>
      <w:r w:rsidRPr="00676378">
        <w:rPr>
          <w:rFonts w:ascii="Palatino Linotype" w:hAnsi="Palatino Linotype"/>
          <w:sz w:val="18"/>
          <w:szCs w:val="18"/>
        </w:rPr>
        <w:t xml:space="preserve">. </w:t>
      </w:r>
      <w:r w:rsidR="00686C1C">
        <w:rPr>
          <w:rFonts w:ascii="Palatino Linotype" w:hAnsi="Palatino Linotype"/>
          <w:sz w:val="18"/>
          <w:szCs w:val="18"/>
        </w:rPr>
        <w:t>C</w:t>
      </w:r>
      <w:r w:rsidR="002376EC">
        <w:rPr>
          <w:rFonts w:ascii="Palatino Linotype" w:hAnsi="Palatino Linotype"/>
          <w:sz w:val="18"/>
          <w:szCs w:val="18"/>
        </w:rPr>
        <w:t>ollaborators</w:t>
      </w:r>
      <w:r w:rsidR="002376EC" w:rsidRPr="005F3C0D">
        <w:rPr>
          <w:rFonts w:ascii="Palatino Linotype" w:hAnsi="Palatino Linotype"/>
          <w:sz w:val="18"/>
          <w:szCs w:val="18"/>
        </w:rPr>
        <w:t xml:space="preserve"> wish to express appreciation and gratitude to the city’s offices of </w:t>
      </w:r>
      <w:r w:rsidR="00065837">
        <w:rPr>
          <w:rFonts w:ascii="Palatino Linotype" w:hAnsi="Palatino Linotype"/>
          <w:sz w:val="18"/>
          <w:szCs w:val="18"/>
        </w:rPr>
        <w:t xml:space="preserve">finance and </w:t>
      </w:r>
      <w:r w:rsidR="002376EC" w:rsidRPr="005F3C0D">
        <w:rPr>
          <w:rFonts w:ascii="Palatino Linotype" w:hAnsi="Palatino Linotype"/>
          <w:sz w:val="18"/>
          <w:szCs w:val="18"/>
        </w:rPr>
        <w:t>plann</w:t>
      </w:r>
      <w:r w:rsidR="00065837">
        <w:rPr>
          <w:rFonts w:ascii="Palatino Linotype" w:hAnsi="Palatino Linotype"/>
          <w:sz w:val="18"/>
          <w:szCs w:val="18"/>
        </w:rPr>
        <w:t>ing</w:t>
      </w:r>
      <w:r w:rsidR="002376EC" w:rsidRPr="005F3C0D">
        <w:rPr>
          <w:rFonts w:ascii="Palatino Linotype" w:hAnsi="Palatino Linotype"/>
          <w:sz w:val="18"/>
          <w:szCs w:val="18"/>
        </w:rPr>
        <w:t xml:space="preserve"> for their advice and assistance in the preparation of this paper. Any errors or omissions it may contain, as</w:t>
      </w:r>
      <w:r w:rsidR="002376EC">
        <w:rPr>
          <w:rFonts w:ascii="Palatino Linotype" w:hAnsi="Palatino Linotype"/>
          <w:sz w:val="18"/>
          <w:szCs w:val="18"/>
        </w:rPr>
        <w:t xml:space="preserve"> well as the opinions expressed</w:t>
      </w:r>
      <w:r w:rsidR="002376EC" w:rsidRPr="005F3C0D">
        <w:rPr>
          <w:rFonts w:ascii="Palatino Linotype" w:hAnsi="Palatino Linotype"/>
          <w:sz w:val="18"/>
          <w:szCs w:val="18"/>
        </w:rPr>
        <w:t xml:space="preserve"> are the sole responsibility of the authors.</w:t>
      </w:r>
    </w:p>
  </w:footnote>
  <w:footnote w:id="2">
    <w:p w:rsidR="00734A50" w:rsidRPr="00734A50" w:rsidRDefault="00734A50">
      <w:pPr>
        <w:pStyle w:val="FootnoteText"/>
        <w:rPr>
          <w:rFonts w:ascii="Palatino Linotype" w:hAnsi="Palatino Linotype"/>
          <w:sz w:val="18"/>
          <w:szCs w:val="18"/>
        </w:rPr>
      </w:pPr>
      <w:r w:rsidRPr="00734A50">
        <w:rPr>
          <w:rStyle w:val="FootnoteReference"/>
          <w:rFonts w:ascii="Palatino Linotype" w:hAnsi="Palatino Linotype"/>
          <w:sz w:val="18"/>
          <w:szCs w:val="18"/>
        </w:rPr>
        <w:footnoteRef/>
      </w:r>
      <w:r w:rsidRPr="00734A50">
        <w:rPr>
          <w:rFonts w:ascii="Palatino Linotype" w:hAnsi="Palatino Linotype"/>
          <w:sz w:val="18"/>
          <w:szCs w:val="18"/>
        </w:rPr>
        <w:t xml:space="preserve"> See </w:t>
      </w:r>
      <w:r>
        <w:rPr>
          <w:rFonts w:ascii="Palatino Linotype" w:hAnsi="Palatino Linotype"/>
          <w:sz w:val="18"/>
          <w:szCs w:val="18"/>
        </w:rPr>
        <w:t xml:space="preserve">Portland </w:t>
      </w:r>
      <w:r w:rsidRPr="00734A50">
        <w:rPr>
          <w:rFonts w:ascii="Palatino Linotype" w:hAnsi="Palatino Linotype"/>
          <w:sz w:val="18"/>
          <w:szCs w:val="18"/>
        </w:rPr>
        <w:t>Planning and Urban Development Office memorandum of September 7, 2016.</w:t>
      </w:r>
    </w:p>
  </w:footnote>
  <w:footnote w:id="3">
    <w:p w:rsidR="00065837" w:rsidRPr="00010B8C" w:rsidRDefault="00065837" w:rsidP="00065837">
      <w:pPr>
        <w:pStyle w:val="FootnoteText"/>
        <w:rPr>
          <w:rFonts w:ascii="Palatino Linotype" w:hAnsi="Palatino Linotype"/>
          <w:sz w:val="18"/>
          <w:szCs w:val="18"/>
        </w:rPr>
      </w:pPr>
      <w:r w:rsidRPr="00010B8C">
        <w:rPr>
          <w:rStyle w:val="FootnoteReference"/>
          <w:rFonts w:ascii="Palatino Linotype" w:hAnsi="Palatino Linotype"/>
          <w:sz w:val="18"/>
          <w:szCs w:val="18"/>
        </w:rPr>
        <w:footnoteRef/>
      </w:r>
      <w:r w:rsidRPr="00010B8C">
        <w:rPr>
          <w:rFonts w:ascii="Palatino Linotype" w:hAnsi="Palatino Linotype"/>
          <w:sz w:val="18"/>
          <w:szCs w:val="18"/>
        </w:rPr>
        <w:t xml:space="preserve"> The authors are grateful to colleague P</w:t>
      </w:r>
      <w:r>
        <w:rPr>
          <w:rFonts w:ascii="Palatino Linotype" w:hAnsi="Palatino Linotype"/>
          <w:sz w:val="18"/>
          <w:szCs w:val="18"/>
        </w:rPr>
        <w:t>atrick Costin for his suggestion</w:t>
      </w:r>
      <w:r w:rsidRPr="00010B8C">
        <w:rPr>
          <w:rFonts w:ascii="Palatino Linotype" w:hAnsi="Palatino Linotype"/>
          <w:sz w:val="18"/>
          <w:szCs w:val="18"/>
        </w:rPr>
        <w:t xml:space="preserve"> of</w:t>
      </w:r>
      <w:r>
        <w:rPr>
          <w:rFonts w:ascii="Palatino Linotype" w:hAnsi="Palatino Linotype"/>
          <w:sz w:val="18"/>
          <w:szCs w:val="18"/>
        </w:rPr>
        <w:t xml:space="preserve"> the flow diagram to illustrate the forces here at play.</w:t>
      </w:r>
    </w:p>
  </w:footnote>
  <w:footnote w:id="4">
    <w:p w:rsidR="00FD20D3" w:rsidRPr="00676378" w:rsidRDefault="00FD20D3" w:rsidP="00FD20D3">
      <w:pPr>
        <w:pStyle w:val="FootnoteText"/>
        <w:rPr>
          <w:rFonts w:ascii="Palatino Linotype" w:hAnsi="Palatino Linotype"/>
          <w:sz w:val="18"/>
          <w:szCs w:val="18"/>
        </w:rPr>
      </w:pPr>
      <w:r w:rsidRPr="00676378">
        <w:rPr>
          <w:rStyle w:val="FootnoteReference"/>
          <w:rFonts w:ascii="Palatino Linotype" w:hAnsi="Palatino Linotype"/>
          <w:sz w:val="18"/>
          <w:szCs w:val="18"/>
        </w:rPr>
        <w:footnoteRef/>
      </w:r>
      <w:r w:rsidRPr="00676378">
        <w:rPr>
          <w:rFonts w:ascii="Palatino Linotype" w:hAnsi="Palatino Linotype"/>
          <w:sz w:val="18"/>
          <w:szCs w:val="18"/>
        </w:rPr>
        <w:t xml:space="preserve"> September 4, 2015</w:t>
      </w:r>
    </w:p>
  </w:footnote>
  <w:footnote w:id="5">
    <w:p w:rsidR="00FD20D3" w:rsidRPr="003C44BC" w:rsidRDefault="00FD20D3" w:rsidP="00FD20D3">
      <w:pPr>
        <w:pStyle w:val="FootnoteText"/>
        <w:rPr>
          <w:rFonts w:ascii="Palatino Linotype" w:hAnsi="Palatino Linotype"/>
          <w:sz w:val="18"/>
          <w:szCs w:val="18"/>
        </w:rPr>
      </w:pPr>
      <w:r w:rsidRPr="003C44BC">
        <w:rPr>
          <w:rStyle w:val="FootnoteReference"/>
          <w:rFonts w:ascii="Palatino Linotype" w:hAnsi="Palatino Linotype"/>
          <w:sz w:val="18"/>
          <w:szCs w:val="18"/>
        </w:rPr>
        <w:footnoteRef/>
      </w:r>
      <w:r>
        <w:rPr>
          <w:rFonts w:ascii="Palatino Linotype" w:hAnsi="Palatino Linotype"/>
          <w:sz w:val="18"/>
          <w:szCs w:val="18"/>
        </w:rPr>
        <w:t xml:space="preserve"> A recent article in </w:t>
      </w:r>
      <w:r w:rsidRPr="003C44BC">
        <w:rPr>
          <w:rFonts w:ascii="Palatino Linotype" w:hAnsi="Palatino Linotype"/>
          <w:i/>
          <w:sz w:val="18"/>
          <w:szCs w:val="18"/>
        </w:rPr>
        <w:t>City Observatory</w:t>
      </w:r>
      <w:r>
        <w:rPr>
          <w:rFonts w:ascii="Palatino Linotype" w:hAnsi="Palatino Linotype"/>
          <w:sz w:val="18"/>
          <w:szCs w:val="18"/>
        </w:rPr>
        <w:t xml:space="preserve">, “States on the Front Line of Housing Affordability,” argues that “For advocates of less restrictive building regulations, especially in high cost cities where more homes might help bring down housing prices and create more equitable and diverse neighborhoods, State governments often seem like the best bet. At the local level the politics are incredibly difficult…. State-level policies that both encourage and require the construction of below-market housing while potentially increasing production of market housing as well, helping slow the growth of market prices, potentially carry a much greater impact for affordability than local policies like inclusionary zoning. See </w:t>
      </w:r>
      <w:hyperlink r:id="rId1" w:tgtFrame="_blank" w:history="1">
        <w:r w:rsidRPr="00CF4829">
          <w:rPr>
            <w:rStyle w:val="Hyperlink"/>
            <w:rFonts w:ascii="Palatino Linotype" w:hAnsi="Palatino Linotype"/>
            <w:color w:val="auto"/>
            <w:sz w:val="18"/>
            <w:szCs w:val="18"/>
          </w:rPr>
          <w:t>http://cityobservatory.org/states-on-the-front-lines-of-housing-affordability/</w:t>
        </w:r>
      </w:hyperlink>
      <w:r w:rsidRPr="00CF4829">
        <w:rPr>
          <w:rFonts w:ascii="Palatino Linotype" w:hAnsi="Palatino Linotype"/>
          <w:sz w:val="18"/>
          <w:szCs w:val="18"/>
        </w:rPr>
        <w:t xml:space="preserve">   </w:t>
      </w:r>
      <w:r>
        <w:rPr>
          <w:rFonts w:ascii="Palatino Linotype" w:hAnsi="Palatino Linotype"/>
          <w:sz w:val="18"/>
          <w:szCs w:val="18"/>
        </w:rPr>
        <w:t xml:space="preserve"> </w:t>
      </w:r>
      <w:r w:rsidRPr="003C44BC">
        <w:rPr>
          <w:rFonts w:ascii="Palatino Linotype" w:hAnsi="Palatino Linotype"/>
          <w:sz w:val="18"/>
          <w:szCs w:val="18"/>
        </w:rPr>
        <w:t xml:space="preserve"> </w:t>
      </w:r>
    </w:p>
  </w:footnote>
  <w:footnote w:id="6">
    <w:p w:rsidR="00FD20D3" w:rsidRPr="00B2647B" w:rsidRDefault="00FD20D3" w:rsidP="00FD20D3">
      <w:pPr>
        <w:pStyle w:val="FootnoteText"/>
        <w:rPr>
          <w:rFonts w:ascii="Palatino Linotype" w:hAnsi="Palatino Linotype"/>
          <w:sz w:val="18"/>
          <w:szCs w:val="18"/>
        </w:rPr>
      </w:pPr>
      <w:r w:rsidRPr="00B2647B">
        <w:rPr>
          <w:rStyle w:val="FootnoteReference"/>
          <w:rFonts w:ascii="Palatino Linotype" w:hAnsi="Palatino Linotype"/>
          <w:sz w:val="18"/>
          <w:szCs w:val="18"/>
        </w:rPr>
        <w:footnoteRef/>
      </w:r>
      <w:r w:rsidR="00483177">
        <w:rPr>
          <w:rFonts w:ascii="Palatino Linotype" w:hAnsi="Palatino Linotype"/>
          <w:sz w:val="18"/>
          <w:szCs w:val="18"/>
        </w:rPr>
        <w:t xml:space="preserve"> </w:t>
      </w:r>
      <w:r>
        <w:rPr>
          <w:rFonts w:ascii="Palatino Linotype" w:hAnsi="Palatino Linotype"/>
          <w:sz w:val="18"/>
          <w:szCs w:val="18"/>
        </w:rPr>
        <w:t xml:space="preserve">See </w:t>
      </w:r>
      <w:r w:rsidRPr="00B1067F">
        <w:rPr>
          <w:rFonts w:ascii="Palatino Linotype" w:hAnsi="Palatino Linotype"/>
          <w:i/>
          <w:sz w:val="18"/>
          <w:szCs w:val="18"/>
        </w:rPr>
        <w:t>Portland Press Herald</w:t>
      </w:r>
      <w:r>
        <w:rPr>
          <w:rFonts w:ascii="Palatino Linotype" w:hAnsi="Palatino Linotype"/>
          <w:sz w:val="18"/>
          <w:szCs w:val="18"/>
        </w:rPr>
        <w:t>, June 24, 2016.</w:t>
      </w:r>
    </w:p>
  </w:footnote>
  <w:footnote w:id="7">
    <w:p w:rsidR="00B52A94" w:rsidRPr="00483177" w:rsidRDefault="00B52A94" w:rsidP="00B52A94">
      <w:pPr>
        <w:pStyle w:val="FootnoteText"/>
        <w:rPr>
          <w:sz w:val="18"/>
          <w:szCs w:val="18"/>
        </w:rPr>
      </w:pPr>
      <w:r w:rsidRPr="0041368E">
        <w:rPr>
          <w:rStyle w:val="FootnoteReference"/>
          <w:sz w:val="18"/>
          <w:szCs w:val="18"/>
        </w:rPr>
        <w:footnoteRef/>
      </w:r>
      <w:r w:rsidRPr="0041368E">
        <w:rPr>
          <w:sz w:val="18"/>
          <w:szCs w:val="18"/>
        </w:rPr>
        <w:t xml:space="preserve"> </w:t>
      </w:r>
      <w:r w:rsidRPr="0041368E">
        <w:rPr>
          <w:rFonts w:ascii="Palatino Linotype" w:hAnsi="Palatino Linotype"/>
          <w:sz w:val="18"/>
          <w:szCs w:val="18"/>
        </w:rPr>
        <w:t xml:space="preserve">See </w:t>
      </w:r>
      <w:r>
        <w:rPr>
          <w:rFonts w:ascii="Palatino Linotype" w:hAnsi="Palatino Linotype"/>
          <w:sz w:val="18"/>
          <w:szCs w:val="18"/>
        </w:rPr>
        <w:t>brief</w:t>
      </w:r>
      <w:r w:rsidRPr="0041368E">
        <w:rPr>
          <w:rFonts w:ascii="Palatino Linotype" w:hAnsi="Palatino Linotype"/>
          <w:sz w:val="18"/>
          <w:szCs w:val="18"/>
        </w:rPr>
        <w:t xml:space="preserve"> talk by </w:t>
      </w:r>
      <w:r w:rsidR="00483177">
        <w:rPr>
          <w:rFonts w:ascii="Palatino Linotype" w:hAnsi="Palatino Linotype"/>
          <w:sz w:val="18"/>
          <w:szCs w:val="18"/>
        </w:rPr>
        <w:t xml:space="preserve">Prof. </w:t>
      </w:r>
      <w:r w:rsidRPr="0041368E">
        <w:rPr>
          <w:rFonts w:ascii="Palatino Linotype" w:hAnsi="Palatino Linotype"/>
          <w:sz w:val="18"/>
          <w:szCs w:val="18"/>
        </w:rPr>
        <w:t xml:space="preserve">Krieger at  </w:t>
      </w:r>
      <w:hyperlink r:id="rId2" w:tgtFrame="_blank" w:history="1">
        <w:r w:rsidRPr="001171C3">
          <w:rPr>
            <w:rStyle w:val="Hyperlink"/>
            <w:rFonts w:ascii="Palatino Linotype" w:hAnsi="Palatino Linotype"/>
            <w:color w:val="auto"/>
            <w:sz w:val="18"/>
            <w:szCs w:val="18"/>
          </w:rPr>
          <w:t>https://www.youtube.com/watch?v=hSr3BxmVIdI</w:t>
        </w:r>
      </w:hyperlink>
      <w:r w:rsidR="00483177">
        <w:rPr>
          <w:rStyle w:val="Hyperlink"/>
          <w:rFonts w:ascii="Palatino Linotype" w:hAnsi="Palatino Linotype"/>
          <w:color w:val="auto"/>
          <w:sz w:val="18"/>
          <w:szCs w:val="18"/>
          <w:u w:val="none"/>
        </w:rPr>
        <w:t xml:space="preserve">. Appendix IV. </w:t>
      </w:r>
      <w:r w:rsidR="00CE7F4A">
        <w:rPr>
          <w:rStyle w:val="Hyperlink"/>
          <w:rFonts w:ascii="Palatino Linotype" w:hAnsi="Palatino Linotype"/>
          <w:color w:val="auto"/>
          <w:sz w:val="18"/>
          <w:szCs w:val="18"/>
          <w:u w:val="none"/>
        </w:rPr>
        <w:t>offer</w:t>
      </w:r>
      <w:r w:rsidR="00483177">
        <w:rPr>
          <w:rStyle w:val="Hyperlink"/>
          <w:rFonts w:ascii="Palatino Linotype" w:hAnsi="Palatino Linotype"/>
          <w:color w:val="auto"/>
          <w:sz w:val="18"/>
          <w:szCs w:val="18"/>
          <w:u w:val="none"/>
        </w:rPr>
        <w:t>s a summary of his October 25, 2016,</w:t>
      </w:r>
      <w:r w:rsidR="00CE7F4A">
        <w:rPr>
          <w:rStyle w:val="Hyperlink"/>
          <w:rFonts w:ascii="Palatino Linotype" w:hAnsi="Palatino Linotype"/>
          <w:color w:val="auto"/>
          <w:sz w:val="18"/>
          <w:szCs w:val="18"/>
          <w:u w:val="none"/>
        </w:rPr>
        <w:t xml:space="preserve"> public lecture at </w:t>
      </w:r>
      <w:r w:rsidR="00483177">
        <w:rPr>
          <w:rStyle w:val="Hyperlink"/>
          <w:rFonts w:ascii="Palatino Linotype" w:hAnsi="Palatino Linotype"/>
          <w:color w:val="auto"/>
          <w:sz w:val="18"/>
          <w:szCs w:val="18"/>
          <w:u w:val="none"/>
        </w:rPr>
        <w:t>Portland</w:t>
      </w:r>
      <w:r w:rsidR="00CE7F4A">
        <w:rPr>
          <w:rStyle w:val="Hyperlink"/>
          <w:rFonts w:ascii="Palatino Linotype" w:hAnsi="Palatino Linotype"/>
          <w:color w:val="auto"/>
          <w:sz w:val="18"/>
          <w:szCs w:val="18"/>
          <w:u w:val="none"/>
        </w:rPr>
        <w:t xml:space="preserve"> High School</w:t>
      </w:r>
      <w:r w:rsidR="00483177">
        <w:rPr>
          <w:rStyle w:val="Hyperlink"/>
          <w:rFonts w:ascii="Palatino Linotype" w:hAnsi="Palatino Linotype"/>
          <w:color w:val="auto"/>
          <w:sz w:val="18"/>
          <w:szCs w:val="18"/>
          <w:u w:val="none"/>
        </w:rPr>
        <w:t>, “The New</w:t>
      </w:r>
      <w:r w:rsidR="00CE7F4A">
        <w:rPr>
          <w:rStyle w:val="Hyperlink"/>
          <w:rFonts w:ascii="Palatino Linotype" w:hAnsi="Palatino Linotype"/>
          <w:color w:val="auto"/>
          <w:sz w:val="18"/>
          <w:szCs w:val="18"/>
          <w:u w:val="none"/>
        </w:rPr>
        <w:t xml:space="preserve"> Allure of the City.</w:t>
      </w:r>
      <w:r w:rsidR="00483177">
        <w:rPr>
          <w:rStyle w:val="Hyperlink"/>
          <w:rFonts w:ascii="Palatino Linotype" w:hAnsi="Palatino Linotype"/>
          <w:color w:val="auto"/>
          <w:sz w:val="18"/>
          <w:szCs w:val="18"/>
          <w:u w:val="none"/>
        </w:rPr>
        <w:t>”</w:t>
      </w:r>
      <w:r w:rsidR="00CE7F4A">
        <w:rPr>
          <w:rStyle w:val="Hyperlink"/>
          <w:rFonts w:ascii="Palatino Linotype" w:hAnsi="Palatino Linotype"/>
          <w:color w:val="auto"/>
          <w:sz w:val="18"/>
          <w:szCs w:val="18"/>
          <w:u w:val="none"/>
        </w:rPr>
        <w:t xml:space="preserve"> </w:t>
      </w:r>
      <w:r w:rsidR="00483177">
        <w:rPr>
          <w:rStyle w:val="Hyperlink"/>
          <w:rFonts w:ascii="Palatino Linotype" w:hAnsi="Palatino Linotype"/>
          <w:color w:val="auto"/>
          <w:sz w:val="18"/>
          <w:szCs w:val="18"/>
          <w:u w:val="none"/>
        </w:rPr>
        <w:t xml:space="preserve">  </w:t>
      </w:r>
    </w:p>
  </w:footnote>
  <w:footnote w:id="8">
    <w:p w:rsidR="00C41B5C" w:rsidRPr="0041368E" w:rsidRDefault="00C41B5C" w:rsidP="00C41B5C">
      <w:pPr>
        <w:pStyle w:val="FootnoteText"/>
        <w:rPr>
          <w:sz w:val="18"/>
          <w:szCs w:val="18"/>
        </w:rPr>
      </w:pPr>
      <w:r w:rsidRPr="0041368E">
        <w:rPr>
          <w:rStyle w:val="FootnoteReference"/>
        </w:rPr>
        <w:footnoteRef/>
      </w:r>
      <w:r w:rsidRPr="0041368E">
        <w:rPr>
          <w:sz w:val="18"/>
          <w:szCs w:val="18"/>
        </w:rPr>
        <w:t xml:space="preserve"> </w:t>
      </w:r>
      <w:r>
        <w:rPr>
          <w:rFonts w:ascii="Palatino Linotype" w:hAnsi="Palatino Linotype"/>
          <w:sz w:val="18"/>
          <w:szCs w:val="18"/>
        </w:rPr>
        <w:t xml:space="preserve">See Edward Glaeser, </w:t>
      </w:r>
      <w:r w:rsidRPr="0041368E">
        <w:rPr>
          <w:rFonts w:ascii="Palatino Linotype" w:hAnsi="Palatino Linotype"/>
          <w:i/>
          <w:sz w:val="18"/>
          <w:szCs w:val="18"/>
        </w:rPr>
        <w:t>Triumph of the City: How Our Greatest Invention Makes Us Richer, Smarter, Greener, Healthier, and Happier.</w:t>
      </w:r>
      <w:r w:rsidRPr="0041368E">
        <w:rPr>
          <w:rFonts w:ascii="Palatino Linotype" w:hAnsi="Palatino Linotype"/>
          <w:sz w:val="18"/>
          <w:szCs w:val="18"/>
        </w:rPr>
        <w:t xml:space="preserve"> Penguin Books, 2011. </w:t>
      </w:r>
      <w:r w:rsidRPr="0041368E">
        <w:rPr>
          <w:sz w:val="18"/>
          <w:szCs w:val="18"/>
        </w:rPr>
        <w:t xml:space="preserve"> </w:t>
      </w:r>
    </w:p>
  </w:footnote>
  <w:footnote w:id="9">
    <w:p w:rsidR="00FD20D3" w:rsidRPr="00EE61B7" w:rsidRDefault="00FD20D3" w:rsidP="00FD20D3">
      <w:pPr>
        <w:pStyle w:val="FootnoteText"/>
        <w:rPr>
          <w:rFonts w:ascii="Palatino Linotype" w:hAnsi="Palatino Linotype"/>
          <w:sz w:val="18"/>
          <w:szCs w:val="18"/>
        </w:rPr>
      </w:pPr>
      <w:r w:rsidRPr="00EE61B7">
        <w:rPr>
          <w:rStyle w:val="FootnoteReference"/>
          <w:rFonts w:ascii="Palatino Linotype" w:hAnsi="Palatino Linotype"/>
        </w:rPr>
        <w:footnoteRef/>
      </w:r>
      <w:r w:rsidRPr="00EE61B7">
        <w:rPr>
          <w:rFonts w:ascii="Palatino Linotype" w:hAnsi="Palatino Linotype"/>
          <w:sz w:val="18"/>
          <w:szCs w:val="18"/>
        </w:rPr>
        <w:t xml:space="preserve"> Jane Jacobs,</w:t>
      </w:r>
      <w:r>
        <w:rPr>
          <w:rFonts w:ascii="Palatino Linotype" w:hAnsi="Palatino Linotype"/>
          <w:sz w:val="18"/>
          <w:szCs w:val="18"/>
        </w:rPr>
        <w:t xml:space="preserve"> </w:t>
      </w:r>
      <w:r w:rsidRPr="00C4676E">
        <w:rPr>
          <w:rFonts w:ascii="Palatino Linotype" w:hAnsi="Palatino Linotype"/>
          <w:i/>
          <w:sz w:val="18"/>
          <w:szCs w:val="18"/>
        </w:rPr>
        <w:t>The Death and Life of Great American Cities</w:t>
      </w:r>
      <w:r w:rsidRPr="00EE61B7">
        <w:rPr>
          <w:rFonts w:ascii="Palatino Linotype" w:hAnsi="Palatino Linotype"/>
          <w:sz w:val="18"/>
          <w:szCs w:val="18"/>
        </w:rPr>
        <w:t>, Vintage Books, 1961.</w:t>
      </w:r>
    </w:p>
  </w:footnote>
  <w:footnote w:id="10">
    <w:p w:rsidR="00FD20D3" w:rsidRPr="004A6B17" w:rsidRDefault="00FD20D3" w:rsidP="00FD20D3">
      <w:pPr>
        <w:pStyle w:val="FootnoteText"/>
        <w:rPr>
          <w:rFonts w:ascii="Palatino Linotype" w:hAnsi="Palatino Linotype"/>
          <w:sz w:val="18"/>
          <w:szCs w:val="18"/>
        </w:rPr>
      </w:pPr>
      <w:r>
        <w:rPr>
          <w:rStyle w:val="FootnoteReference"/>
        </w:rPr>
        <w:footnoteRef/>
      </w:r>
      <w:r>
        <w:t xml:space="preserve"> </w:t>
      </w:r>
      <w:r>
        <w:rPr>
          <w:rFonts w:ascii="Palatino Linotype" w:hAnsi="Palatino Linotype"/>
          <w:sz w:val="18"/>
          <w:szCs w:val="18"/>
        </w:rPr>
        <w:t xml:space="preserve">See </w:t>
      </w:r>
      <w:hyperlink r:id="rId3" w:tgtFrame="_blank" w:history="1">
        <w:r w:rsidRPr="00CF4829">
          <w:rPr>
            <w:rStyle w:val="Hyperlink"/>
            <w:rFonts w:ascii="Palatino Linotype" w:hAnsi="Palatino Linotype"/>
            <w:color w:val="auto"/>
            <w:sz w:val="18"/>
            <w:szCs w:val="18"/>
          </w:rPr>
          <w:t>https://www.cnu.org/publicsquare/2016/08/26/morbid-and-mortal-toll-sprawl</w:t>
        </w:r>
      </w:hyperlink>
      <w:r w:rsidRPr="00CF4829">
        <w:rPr>
          <w:rFonts w:ascii="Palatino Linotype" w:hAnsi="Palatino Linotype"/>
          <w:sz w:val="18"/>
          <w:szCs w:val="18"/>
        </w:rPr>
        <w:t xml:space="preserve"> </w:t>
      </w:r>
    </w:p>
  </w:footnote>
  <w:footnote w:id="11">
    <w:p w:rsidR="00FD20D3" w:rsidRPr="00FC6942" w:rsidRDefault="00FD20D3" w:rsidP="00FD20D3">
      <w:pPr>
        <w:spacing w:after="0" w:line="240" w:lineRule="auto"/>
        <w:rPr>
          <w:rFonts w:ascii="Palatino Linotype" w:hAnsi="Palatino Linotype"/>
          <w:b/>
          <w:sz w:val="18"/>
          <w:szCs w:val="18"/>
        </w:rPr>
      </w:pPr>
      <w:r w:rsidRPr="00B1067F">
        <w:rPr>
          <w:rStyle w:val="FootnoteReference"/>
          <w:rFonts w:ascii="Palatino Linotype" w:hAnsi="Palatino Linotype"/>
        </w:rPr>
        <w:footnoteRef/>
      </w:r>
      <w:r>
        <w:rPr>
          <w:rFonts w:ascii="Palatino Linotype" w:hAnsi="Palatino Linotype"/>
          <w:sz w:val="18"/>
          <w:szCs w:val="18"/>
        </w:rPr>
        <w:t xml:space="preserve"> The number of jobs in Portland increased by 4,000 between 2004 and 2014. But while t</w:t>
      </w:r>
      <w:r w:rsidRPr="00B1067F">
        <w:rPr>
          <w:rFonts w:ascii="Palatino Linotype" w:hAnsi="Palatino Linotype"/>
          <w:sz w:val="18"/>
          <w:szCs w:val="18"/>
        </w:rPr>
        <w:t xml:space="preserve">he number of workers  </w:t>
      </w:r>
      <w:r w:rsidRPr="008A2285">
        <w:rPr>
          <w:rFonts w:ascii="Palatino Linotype" w:hAnsi="Palatino Linotype"/>
          <w:i/>
          <w:sz w:val="18"/>
          <w:szCs w:val="18"/>
        </w:rPr>
        <w:t>both</w:t>
      </w:r>
      <w:r w:rsidRPr="00B1067F">
        <w:rPr>
          <w:rFonts w:ascii="Palatino Linotype" w:hAnsi="Palatino Linotype"/>
          <w:sz w:val="18"/>
          <w:szCs w:val="18"/>
        </w:rPr>
        <w:t xml:space="preserve"> working </w:t>
      </w:r>
      <w:r w:rsidRPr="00CE6E11">
        <w:rPr>
          <w:rFonts w:ascii="Palatino Linotype" w:hAnsi="Palatino Linotype"/>
          <w:sz w:val="18"/>
          <w:szCs w:val="18"/>
        </w:rPr>
        <w:t>and</w:t>
      </w:r>
      <w:r w:rsidRPr="00B1067F">
        <w:rPr>
          <w:rFonts w:ascii="Palatino Linotype" w:hAnsi="Palatino Linotype"/>
          <w:sz w:val="18"/>
          <w:szCs w:val="18"/>
        </w:rPr>
        <w:t xml:space="preserve"> living in Portland declined by 1232 </w:t>
      </w:r>
      <w:r>
        <w:rPr>
          <w:rFonts w:ascii="Palatino Linotype" w:hAnsi="Palatino Linotype"/>
          <w:sz w:val="18"/>
          <w:szCs w:val="18"/>
        </w:rPr>
        <w:t>during this period, c</w:t>
      </w:r>
      <w:r w:rsidRPr="00B1067F">
        <w:rPr>
          <w:rFonts w:ascii="Palatino Linotype" w:hAnsi="Palatino Linotype"/>
          <w:sz w:val="18"/>
          <w:szCs w:val="18"/>
        </w:rPr>
        <w:t>ommuters from outside the city a</w:t>
      </w:r>
      <w:r w:rsidRPr="00774353">
        <w:rPr>
          <w:rFonts w:ascii="Palatino Linotype" w:hAnsi="Palatino Linotype"/>
          <w:sz w:val="18"/>
          <w:szCs w:val="18"/>
        </w:rPr>
        <w:t xml:space="preserve">nd </w:t>
      </w:r>
      <w:r>
        <w:rPr>
          <w:rFonts w:ascii="Palatino Linotype" w:hAnsi="Palatino Linotype"/>
          <w:sz w:val="18"/>
          <w:szCs w:val="18"/>
        </w:rPr>
        <w:t>working</w:t>
      </w:r>
      <w:r w:rsidRPr="00774353">
        <w:rPr>
          <w:rFonts w:ascii="Palatino Linotype" w:hAnsi="Palatino Linotype"/>
          <w:sz w:val="18"/>
          <w:szCs w:val="18"/>
        </w:rPr>
        <w:t xml:space="preserve"> in Portland</w:t>
      </w:r>
      <w:r w:rsidRPr="00B1067F">
        <w:rPr>
          <w:rFonts w:ascii="Palatino Linotype" w:hAnsi="Palatino Linotype"/>
          <w:sz w:val="18"/>
          <w:szCs w:val="18"/>
        </w:rPr>
        <w:t xml:space="preserve"> increased by </w:t>
      </w:r>
      <w:r>
        <w:rPr>
          <w:rFonts w:ascii="Palatino Linotype" w:hAnsi="Palatino Linotype"/>
          <w:sz w:val="18"/>
          <w:szCs w:val="18"/>
        </w:rPr>
        <w:t>more than</w:t>
      </w:r>
      <w:r w:rsidRPr="00774353">
        <w:rPr>
          <w:rFonts w:ascii="Palatino Linotype" w:hAnsi="Palatino Linotype"/>
          <w:sz w:val="18"/>
          <w:szCs w:val="18"/>
        </w:rPr>
        <w:t xml:space="preserve"> 5,000</w:t>
      </w:r>
      <w:r w:rsidRPr="00B1067F">
        <w:rPr>
          <w:rFonts w:ascii="Palatino Linotype" w:hAnsi="Palatino Linotype"/>
          <w:sz w:val="18"/>
          <w:szCs w:val="18"/>
        </w:rPr>
        <w:t xml:space="preserve">.  </w:t>
      </w:r>
      <w:r>
        <w:rPr>
          <w:rFonts w:ascii="Palatino Linotype" w:hAnsi="Palatino Linotype"/>
          <w:sz w:val="18"/>
          <w:szCs w:val="18"/>
        </w:rPr>
        <w:t xml:space="preserve">Source: </w:t>
      </w:r>
      <w:r w:rsidRPr="00B1067F">
        <w:rPr>
          <w:rFonts w:ascii="Palatino Linotype" w:hAnsi="Palatino Linotype"/>
          <w:sz w:val="18"/>
          <w:szCs w:val="18"/>
        </w:rPr>
        <w:t xml:space="preserve">U.S Census Bureau, </w:t>
      </w:r>
      <w:r w:rsidRPr="004A6B17">
        <w:rPr>
          <w:rFonts w:ascii="Palatino Linotype" w:hAnsi="Palatino Linotype"/>
          <w:i/>
          <w:sz w:val="18"/>
          <w:szCs w:val="18"/>
        </w:rPr>
        <w:t xml:space="preserve">OnTheMap </w:t>
      </w:r>
      <w:r w:rsidR="004A6B17">
        <w:rPr>
          <w:rFonts w:ascii="Palatino Linotype" w:hAnsi="Palatino Linotype"/>
          <w:sz w:val="18"/>
          <w:szCs w:val="18"/>
        </w:rPr>
        <w:t>Application Origin-</w:t>
      </w:r>
      <w:r w:rsidRPr="00B1067F">
        <w:rPr>
          <w:rFonts w:ascii="Palatino Linotype" w:hAnsi="Palatino Linotype"/>
          <w:sz w:val="18"/>
          <w:szCs w:val="18"/>
        </w:rPr>
        <w:t>Destination Employment Statistics</w:t>
      </w:r>
    </w:p>
  </w:footnote>
  <w:footnote w:id="12">
    <w:p w:rsidR="00FD20D3" w:rsidRPr="00086088" w:rsidRDefault="00FD20D3" w:rsidP="00FD20D3">
      <w:pPr>
        <w:pStyle w:val="FootnoteText"/>
        <w:rPr>
          <w:rFonts w:ascii="Palatino Linotype" w:hAnsi="Palatino Linotype"/>
          <w:sz w:val="18"/>
          <w:szCs w:val="18"/>
        </w:rPr>
      </w:pPr>
      <w:r w:rsidRPr="00086088">
        <w:rPr>
          <w:rStyle w:val="FootnoteReference"/>
          <w:rFonts w:ascii="Palatino Linotype" w:hAnsi="Palatino Linotype"/>
          <w:sz w:val="18"/>
          <w:szCs w:val="18"/>
        </w:rPr>
        <w:footnoteRef/>
      </w:r>
      <w:r w:rsidRPr="00086088">
        <w:rPr>
          <w:rFonts w:ascii="Palatino Linotype" w:hAnsi="Palatino Linotype"/>
          <w:sz w:val="18"/>
          <w:szCs w:val="18"/>
        </w:rPr>
        <w:t xml:space="preserve"> See, for example, “Why Corporate America</w:t>
      </w:r>
      <w:r>
        <w:rPr>
          <w:rFonts w:ascii="Palatino Linotype" w:hAnsi="Palatino Linotype"/>
          <w:sz w:val="18"/>
          <w:szCs w:val="18"/>
        </w:rPr>
        <w:t xml:space="preserve"> Is </w:t>
      </w:r>
      <w:r w:rsidRPr="00086088">
        <w:rPr>
          <w:rFonts w:ascii="Palatino Linotype" w:hAnsi="Palatino Linotype"/>
          <w:sz w:val="18"/>
          <w:szCs w:val="18"/>
        </w:rPr>
        <w:t xml:space="preserve">Leaving the Suburbs for the City,” </w:t>
      </w:r>
      <w:r w:rsidRPr="00086088">
        <w:rPr>
          <w:rFonts w:ascii="Palatino Linotype" w:hAnsi="Palatino Linotype"/>
          <w:i/>
          <w:sz w:val="18"/>
          <w:szCs w:val="18"/>
        </w:rPr>
        <w:t>The New York Times</w:t>
      </w:r>
      <w:r w:rsidRPr="00086088">
        <w:rPr>
          <w:rFonts w:ascii="Palatino Linotype" w:hAnsi="Palatino Linotype"/>
          <w:sz w:val="18"/>
          <w:szCs w:val="18"/>
        </w:rPr>
        <w:t>, August 1, 2016. “Cities are more attractive places to live than they were 30 years ago, and are more wi</w:t>
      </w:r>
      <w:r>
        <w:rPr>
          <w:rFonts w:ascii="Palatino Linotype" w:hAnsi="Palatino Linotype"/>
          <w:sz w:val="18"/>
          <w:szCs w:val="18"/>
        </w:rPr>
        <w:t>lling to provide tax incentives;</w:t>
      </w:r>
      <w:r w:rsidRPr="00086088">
        <w:rPr>
          <w:rFonts w:ascii="Palatino Linotype" w:hAnsi="Palatino Linotype"/>
          <w:sz w:val="18"/>
          <w:szCs w:val="18"/>
        </w:rPr>
        <w:t xml:space="preserve"> and young people want to be there.” – David J. Collis, Harvard Business School.</w:t>
      </w:r>
    </w:p>
  </w:footnote>
  <w:footnote w:id="13">
    <w:p w:rsidR="00FD20D3" w:rsidRDefault="00FD20D3" w:rsidP="00FD20D3">
      <w:pPr>
        <w:pStyle w:val="FootnoteText"/>
      </w:pPr>
      <w:r>
        <w:rPr>
          <w:rStyle w:val="FootnoteReference"/>
        </w:rPr>
        <w:footnoteRef/>
      </w:r>
      <w:r>
        <w:t xml:space="preserve"> </w:t>
      </w:r>
      <w:r w:rsidRPr="00012396">
        <w:rPr>
          <w:rFonts w:ascii="Palatino Linotype" w:hAnsi="Palatino Linotype"/>
          <w:sz w:val="18"/>
          <w:szCs w:val="18"/>
        </w:rPr>
        <w:t xml:space="preserve">The City owns and operates </w:t>
      </w:r>
      <w:r>
        <w:rPr>
          <w:rFonts w:ascii="Palatino Linotype" w:hAnsi="Palatino Linotype"/>
          <w:sz w:val="18"/>
          <w:szCs w:val="18"/>
        </w:rPr>
        <w:t xml:space="preserve">some </w:t>
      </w:r>
      <w:r w:rsidRPr="00012396">
        <w:rPr>
          <w:rFonts w:ascii="Palatino Linotype" w:hAnsi="Palatino Linotype"/>
          <w:sz w:val="18"/>
          <w:szCs w:val="18"/>
        </w:rPr>
        <w:t>17 schools: 10 elementary, 3 mi</w:t>
      </w:r>
      <w:r w:rsidR="00CE7F4A">
        <w:rPr>
          <w:rFonts w:ascii="Palatino Linotype" w:hAnsi="Palatino Linotype"/>
          <w:sz w:val="18"/>
          <w:szCs w:val="18"/>
        </w:rPr>
        <w:t>ddle, and 4 high. It</w:t>
      </w:r>
      <w:r w:rsidR="00726991">
        <w:rPr>
          <w:rFonts w:ascii="Palatino Linotype" w:hAnsi="Palatino Linotype"/>
          <w:sz w:val="18"/>
          <w:szCs w:val="18"/>
        </w:rPr>
        <w:t xml:space="preserve"> recently </w:t>
      </w:r>
      <w:r w:rsidRPr="00012396">
        <w:rPr>
          <w:rFonts w:ascii="Palatino Linotype" w:hAnsi="Palatino Linotype"/>
          <w:sz w:val="18"/>
          <w:szCs w:val="18"/>
        </w:rPr>
        <w:t>issue</w:t>
      </w:r>
      <w:r w:rsidR="00726991">
        <w:rPr>
          <w:rFonts w:ascii="Palatino Linotype" w:hAnsi="Palatino Linotype"/>
          <w:sz w:val="18"/>
          <w:szCs w:val="18"/>
        </w:rPr>
        <w:t>d</w:t>
      </w:r>
      <w:r w:rsidRPr="00012396">
        <w:rPr>
          <w:rFonts w:ascii="Palatino Linotype" w:hAnsi="Palatino Linotype"/>
          <w:sz w:val="18"/>
          <w:szCs w:val="18"/>
        </w:rPr>
        <w:t xml:space="preserve"> an RFP for a qualified inspector to assess the maintenance and impr</w:t>
      </w:r>
      <w:r>
        <w:rPr>
          <w:rFonts w:ascii="Palatino Linotype" w:hAnsi="Palatino Linotype"/>
          <w:sz w:val="18"/>
          <w:szCs w:val="18"/>
        </w:rPr>
        <w:t>ovement needs of all but one of</w:t>
      </w:r>
      <w:r w:rsidRPr="00012396">
        <w:rPr>
          <w:rFonts w:ascii="Palatino Linotype" w:hAnsi="Palatino Linotype"/>
          <w:sz w:val="18"/>
          <w:szCs w:val="18"/>
        </w:rPr>
        <w:t xml:space="preserve"> </w:t>
      </w:r>
      <w:r>
        <w:rPr>
          <w:rFonts w:ascii="Palatino Linotype" w:hAnsi="Palatino Linotype"/>
          <w:sz w:val="18"/>
          <w:szCs w:val="18"/>
        </w:rPr>
        <w:t xml:space="preserve">the </w:t>
      </w:r>
      <w:r w:rsidRPr="00012396">
        <w:rPr>
          <w:rFonts w:ascii="Palatino Linotype" w:hAnsi="Palatino Linotype"/>
          <w:sz w:val="18"/>
          <w:szCs w:val="18"/>
        </w:rPr>
        <w:t>schools</w:t>
      </w:r>
      <w:r>
        <w:rPr>
          <w:rFonts w:ascii="Palatino Linotype" w:hAnsi="Palatino Linotype"/>
          <w:sz w:val="18"/>
          <w:szCs w:val="18"/>
        </w:rPr>
        <w:t>, as well as the central kitchen and administrative office;</w:t>
      </w:r>
      <w:r w:rsidRPr="00012396">
        <w:rPr>
          <w:rFonts w:ascii="Palatino Linotype" w:hAnsi="Palatino Linotype"/>
          <w:sz w:val="18"/>
          <w:szCs w:val="18"/>
        </w:rPr>
        <w:t xml:space="preserve"> and </w:t>
      </w:r>
      <w:r>
        <w:rPr>
          <w:rFonts w:ascii="Palatino Linotype" w:hAnsi="Palatino Linotype"/>
          <w:sz w:val="18"/>
          <w:szCs w:val="18"/>
        </w:rPr>
        <w:t xml:space="preserve">to </w:t>
      </w:r>
      <w:r w:rsidRPr="00012396">
        <w:rPr>
          <w:rFonts w:ascii="Palatino Linotype" w:hAnsi="Palatino Linotype"/>
          <w:sz w:val="18"/>
          <w:szCs w:val="18"/>
        </w:rPr>
        <w:t>place each of these</w:t>
      </w:r>
      <w:r>
        <w:rPr>
          <w:rFonts w:ascii="Palatino Linotype" w:hAnsi="Palatino Linotype"/>
          <w:sz w:val="18"/>
          <w:szCs w:val="18"/>
        </w:rPr>
        <w:t xml:space="preserve"> facilities</w:t>
      </w:r>
      <w:r w:rsidRPr="00012396">
        <w:rPr>
          <w:rFonts w:ascii="Palatino Linotype" w:hAnsi="Palatino Linotype"/>
          <w:sz w:val="18"/>
          <w:szCs w:val="18"/>
        </w:rPr>
        <w:t xml:space="preserve"> on a long</w:t>
      </w:r>
      <w:r>
        <w:rPr>
          <w:rFonts w:ascii="Palatino Linotype" w:hAnsi="Palatino Linotype"/>
          <w:sz w:val="18"/>
          <w:szCs w:val="18"/>
        </w:rPr>
        <w:t>-</w:t>
      </w:r>
      <w:r w:rsidRPr="00012396">
        <w:rPr>
          <w:rFonts w:ascii="Palatino Linotype" w:hAnsi="Palatino Linotype"/>
          <w:sz w:val="18"/>
          <w:szCs w:val="18"/>
        </w:rPr>
        <w:t>term maintenance schedule. The repo</w:t>
      </w:r>
      <w:r w:rsidR="00CE7F4A">
        <w:rPr>
          <w:rFonts w:ascii="Palatino Linotype" w:hAnsi="Palatino Linotype"/>
          <w:sz w:val="18"/>
          <w:szCs w:val="18"/>
        </w:rPr>
        <w:t>rt is expected by late Fall 2016</w:t>
      </w:r>
      <w:r>
        <w:rPr>
          <w:rFonts w:ascii="Palatino Linotype" w:hAnsi="Palatino Linotype"/>
          <w:sz w:val="18"/>
          <w:szCs w:val="18"/>
        </w:rPr>
        <w:t>.</w:t>
      </w:r>
    </w:p>
  </w:footnote>
  <w:footnote w:id="14">
    <w:p w:rsidR="00D54324" w:rsidRPr="004A6B17" w:rsidRDefault="00D54324">
      <w:pPr>
        <w:pStyle w:val="FootnoteText"/>
        <w:rPr>
          <w:rFonts w:ascii="Palatino Linotype" w:hAnsi="Palatino Linotype"/>
          <w:sz w:val="18"/>
          <w:szCs w:val="18"/>
        </w:rPr>
      </w:pPr>
      <w:r w:rsidRPr="004A6B17">
        <w:rPr>
          <w:rStyle w:val="FootnoteReference"/>
          <w:rFonts w:ascii="Palatino Linotype" w:hAnsi="Palatino Linotype"/>
          <w:sz w:val="18"/>
          <w:szCs w:val="18"/>
        </w:rPr>
        <w:footnoteRef/>
      </w:r>
      <w:r w:rsidRPr="004A6B17">
        <w:rPr>
          <w:rFonts w:ascii="Palatino Linotype" w:hAnsi="Palatino Linotype"/>
          <w:sz w:val="18"/>
          <w:szCs w:val="18"/>
        </w:rPr>
        <w:t xml:space="preserve"> See </w:t>
      </w:r>
      <w:r w:rsidRPr="00AF477D">
        <w:rPr>
          <w:rFonts w:ascii="Palatino Linotype" w:hAnsi="Palatino Linotype"/>
          <w:i/>
          <w:sz w:val="18"/>
          <w:szCs w:val="18"/>
        </w:rPr>
        <w:t>City of Portland Capital Improvement Plan, FY 2016-20-2020,</w:t>
      </w:r>
      <w:r w:rsidRPr="004A6B17">
        <w:rPr>
          <w:rFonts w:ascii="Palatino Linotype" w:hAnsi="Palatino Linotype"/>
          <w:sz w:val="18"/>
          <w:szCs w:val="18"/>
        </w:rPr>
        <w:t xml:space="preserve"> April 2-015.</w:t>
      </w:r>
    </w:p>
  </w:footnote>
  <w:footnote w:id="15">
    <w:p w:rsidR="00FD20D3" w:rsidRPr="003346A7" w:rsidRDefault="00FD20D3" w:rsidP="00FD20D3">
      <w:pPr>
        <w:pStyle w:val="FootnoteText"/>
        <w:rPr>
          <w:rFonts w:ascii="Palatino Linotype" w:hAnsi="Palatino Linotype"/>
          <w:sz w:val="18"/>
          <w:szCs w:val="18"/>
        </w:rPr>
      </w:pPr>
      <w:r w:rsidRPr="003346A7">
        <w:rPr>
          <w:rStyle w:val="FootnoteReference"/>
          <w:rFonts w:ascii="Palatino Linotype" w:hAnsi="Palatino Linotype"/>
          <w:sz w:val="18"/>
          <w:szCs w:val="18"/>
        </w:rPr>
        <w:footnoteRef/>
      </w:r>
      <w:r w:rsidRPr="003346A7">
        <w:rPr>
          <w:rFonts w:ascii="Palatino Linotype" w:hAnsi="Palatino Linotype"/>
          <w:sz w:val="18"/>
          <w:szCs w:val="18"/>
        </w:rPr>
        <w:t xml:space="preserve"> Total net debt service may not exceed 15% of total general fund expenditures or 1.5% of total per capita income for the city based on US Bureau of Economic Analysis figures. </w:t>
      </w:r>
      <w:r>
        <w:rPr>
          <w:rFonts w:ascii="Palatino Linotype" w:hAnsi="Palatino Linotype"/>
          <w:sz w:val="18"/>
          <w:szCs w:val="18"/>
        </w:rPr>
        <w:t>Total d</w:t>
      </w:r>
      <w:r w:rsidRPr="003346A7">
        <w:rPr>
          <w:rFonts w:ascii="Palatino Linotype" w:hAnsi="Palatino Linotype"/>
          <w:sz w:val="18"/>
          <w:szCs w:val="18"/>
        </w:rPr>
        <w:t>ebt should also not exceed $5,000 per capita.</w:t>
      </w:r>
    </w:p>
  </w:footnote>
  <w:footnote w:id="16">
    <w:p w:rsidR="00CE7F4A" w:rsidRPr="00AF477D" w:rsidRDefault="00CE7F4A" w:rsidP="00CE7F4A">
      <w:pPr>
        <w:spacing w:after="0" w:line="240" w:lineRule="auto"/>
        <w:rPr>
          <w:rFonts w:ascii="Palatino Linotype" w:hAnsi="Palatino Linotype"/>
          <w:sz w:val="18"/>
          <w:szCs w:val="18"/>
        </w:rPr>
      </w:pPr>
      <w:r>
        <w:rPr>
          <w:rStyle w:val="FootnoteReference"/>
        </w:rPr>
        <w:footnoteRef/>
      </w:r>
      <w:r>
        <w:t xml:space="preserve"> </w:t>
      </w:r>
      <w:r w:rsidR="00FC14DE">
        <w:rPr>
          <w:rFonts w:ascii="Palatino Linotype" w:hAnsi="Palatino Linotype"/>
          <w:sz w:val="18"/>
          <w:szCs w:val="18"/>
        </w:rPr>
        <w:t xml:space="preserve">Arnold </w:t>
      </w:r>
      <w:r w:rsidRPr="001F397A">
        <w:rPr>
          <w:rFonts w:ascii="Palatino Linotype" w:hAnsi="Palatino Linotype"/>
          <w:sz w:val="18"/>
          <w:szCs w:val="18"/>
        </w:rPr>
        <w:t>J. Toynbee</w:t>
      </w:r>
      <w:r>
        <w:rPr>
          <w:rFonts w:ascii="Palatino Linotype" w:hAnsi="Palatino Linotype"/>
          <w:sz w:val="18"/>
          <w:szCs w:val="18"/>
        </w:rPr>
        <w:t xml:space="preserve">, </w:t>
      </w:r>
      <w:r w:rsidRPr="001F397A">
        <w:rPr>
          <w:rFonts w:ascii="Palatino Linotype" w:hAnsi="Palatino Linotype"/>
          <w:i/>
          <w:sz w:val="18"/>
          <w:szCs w:val="18"/>
        </w:rPr>
        <w:t>A Study of History</w:t>
      </w:r>
      <w:r w:rsidRPr="001F397A">
        <w:rPr>
          <w:rFonts w:ascii="Palatino Linotype" w:hAnsi="Palatino Linotype"/>
          <w:sz w:val="18"/>
          <w:szCs w:val="18"/>
        </w:rPr>
        <w:t>,</w:t>
      </w:r>
      <w:r w:rsidR="00FC14DE">
        <w:rPr>
          <w:rFonts w:ascii="Palatino Linotype" w:hAnsi="Palatino Linotype"/>
          <w:sz w:val="18"/>
          <w:szCs w:val="18"/>
        </w:rPr>
        <w:t xml:space="preserve"> originally published in 1946, paperback edition abridged in two volumes by D.C. Somervell, Oxford U. Press, Oxford and New York, 1987.</w:t>
      </w:r>
      <w:r w:rsidRPr="001F397A">
        <w:rPr>
          <w:rFonts w:ascii="Palatino Linotype" w:hAnsi="Palatino Linotype"/>
          <w:sz w:val="18"/>
          <w:szCs w:val="18"/>
        </w:rPr>
        <w:t xml:space="preserve"> </w:t>
      </w:r>
    </w:p>
  </w:footnote>
  <w:footnote w:id="17">
    <w:p w:rsidR="00706AC8" w:rsidRPr="00F90C46" w:rsidRDefault="00706AC8">
      <w:pPr>
        <w:pStyle w:val="FootnoteText"/>
        <w:rPr>
          <w:rFonts w:ascii="Palatino Linotype" w:hAnsi="Palatino Linotype"/>
          <w:sz w:val="18"/>
          <w:szCs w:val="18"/>
        </w:rPr>
      </w:pPr>
      <w:r>
        <w:rPr>
          <w:rStyle w:val="FootnoteReference"/>
        </w:rPr>
        <w:footnoteRef/>
      </w:r>
      <w:r>
        <w:t xml:space="preserve"> </w:t>
      </w:r>
      <w:r>
        <w:rPr>
          <w:rFonts w:ascii="Palatino Linotype" w:hAnsi="Palatino Linotype"/>
          <w:sz w:val="18"/>
          <w:szCs w:val="18"/>
        </w:rPr>
        <w:t xml:space="preserve">The Maine Department of Labor recently reported that seven </w:t>
      </w:r>
      <w:r w:rsidR="00C030EC">
        <w:rPr>
          <w:rFonts w:ascii="Palatino Linotype" w:hAnsi="Palatino Linotype"/>
          <w:sz w:val="18"/>
          <w:szCs w:val="18"/>
        </w:rPr>
        <w:t xml:space="preserve">out </w:t>
      </w:r>
      <w:r>
        <w:rPr>
          <w:rFonts w:ascii="Palatino Linotype" w:hAnsi="Palatino Linotype"/>
          <w:sz w:val="18"/>
          <w:szCs w:val="18"/>
        </w:rPr>
        <w:t xml:space="preserve">of every eight Maine job openings between now and 2024 will be to replace an existing worker who vacates a position by retiring, quitting, or being fired. Maine’s continuing transition to a service economy will lead to population shifts within the state, as people relocate to </w:t>
      </w:r>
      <w:r w:rsidR="00F90C46">
        <w:rPr>
          <w:rFonts w:ascii="Palatino Linotype" w:hAnsi="Palatino Linotype"/>
          <w:sz w:val="18"/>
          <w:szCs w:val="18"/>
        </w:rPr>
        <w:t>more</w:t>
      </w:r>
      <w:r w:rsidR="00C030EC">
        <w:rPr>
          <w:rFonts w:ascii="Palatino Linotype" w:hAnsi="Palatino Linotype"/>
          <w:sz w:val="18"/>
          <w:szCs w:val="18"/>
        </w:rPr>
        <w:t xml:space="preserve"> urban places</w:t>
      </w:r>
      <w:r>
        <w:rPr>
          <w:rFonts w:ascii="Palatino Linotype" w:hAnsi="Palatino Linotype"/>
          <w:sz w:val="18"/>
          <w:szCs w:val="18"/>
        </w:rPr>
        <w:t xml:space="preserve"> where the majority of jobs will be. “The industries that are growing (health care and professional services) tend to be in the cities,” said chief economist Glenn Mills. See </w:t>
      </w:r>
      <w:r w:rsidRPr="00706AC8">
        <w:rPr>
          <w:rFonts w:ascii="Palatino Linotype" w:hAnsi="Palatino Linotype"/>
          <w:i/>
          <w:sz w:val="18"/>
          <w:szCs w:val="18"/>
        </w:rPr>
        <w:t>Portland Press Herald</w:t>
      </w:r>
      <w:r w:rsidR="00F90C46">
        <w:rPr>
          <w:rFonts w:ascii="Palatino Linotype" w:hAnsi="Palatino Linotype"/>
          <w:sz w:val="18"/>
          <w:szCs w:val="18"/>
        </w:rPr>
        <w:t>, Sept. 13, 20i6.</w:t>
      </w:r>
    </w:p>
  </w:footnote>
  <w:footnote w:id="18">
    <w:p w:rsidR="005850AD" w:rsidRPr="005850AD" w:rsidRDefault="005850AD" w:rsidP="005850AD">
      <w:pPr>
        <w:pStyle w:val="FootnoteText"/>
      </w:pPr>
      <w:r>
        <w:rPr>
          <w:rStyle w:val="FootnoteReference"/>
        </w:rPr>
        <w:footnoteRef/>
      </w:r>
      <w:r>
        <w:t xml:space="preserve"> </w:t>
      </w:r>
      <w:r w:rsidRPr="002F37C3">
        <w:rPr>
          <w:rFonts w:ascii="Palatino Linotype" w:hAnsi="Palatino Linotype"/>
          <w:sz w:val="18"/>
          <w:szCs w:val="18"/>
        </w:rPr>
        <w:t xml:space="preserve">See </w:t>
      </w:r>
      <w:r w:rsidRPr="002F37C3">
        <w:rPr>
          <w:rFonts w:ascii="Palatino Linotype" w:hAnsi="Palatino Linotype"/>
          <w:i/>
          <w:sz w:val="18"/>
          <w:szCs w:val="18"/>
        </w:rPr>
        <w:t>Maine’s New Labor Shortage: New Mainers and Diversity</w:t>
      </w:r>
      <w:r>
        <w:rPr>
          <w:rFonts w:ascii="Palatino Linotype" w:hAnsi="Palatino Linotype"/>
          <w:sz w:val="18"/>
          <w:szCs w:val="18"/>
        </w:rPr>
        <w:t>, Maine Development Foundation and Maine State Chamber of Commerce, Augusta, September 2016.</w:t>
      </w:r>
      <w:r w:rsidRPr="005850AD">
        <w:rPr>
          <w:rStyle w:val="FootnoteReference"/>
        </w:rPr>
        <w:t xml:space="preserve"> </w:t>
      </w:r>
    </w:p>
  </w:footnote>
  <w:footnote w:id="19">
    <w:p w:rsidR="00053156" w:rsidRPr="00053156" w:rsidRDefault="00053156">
      <w:pPr>
        <w:pStyle w:val="FootnoteText"/>
        <w:rPr>
          <w:rFonts w:ascii="Palatino Linotype" w:hAnsi="Palatino Linotype"/>
          <w:i/>
          <w:sz w:val="18"/>
          <w:szCs w:val="18"/>
        </w:rPr>
      </w:pPr>
      <w:r>
        <w:rPr>
          <w:rStyle w:val="FootnoteReference"/>
        </w:rPr>
        <w:footnoteRef/>
      </w:r>
      <w:r>
        <w:t xml:space="preserve"> </w:t>
      </w:r>
      <w:r w:rsidRPr="005850AD">
        <w:rPr>
          <w:rFonts w:ascii="Palatino Linotype" w:hAnsi="Palatino Linotype"/>
          <w:sz w:val="18"/>
          <w:szCs w:val="18"/>
        </w:rPr>
        <w:t>See</w:t>
      </w:r>
      <w:r w:rsidRPr="00053156">
        <w:rPr>
          <w:rFonts w:ascii="Palatino Linotype" w:hAnsi="Palatino Linotype"/>
          <w:i/>
          <w:sz w:val="18"/>
          <w:szCs w:val="18"/>
        </w:rPr>
        <w:t xml:space="preserve"> </w:t>
      </w:r>
      <w:r w:rsidRPr="00053156">
        <w:rPr>
          <w:rStyle w:val="HTMLCite"/>
          <w:rFonts w:ascii="Palatino Linotype" w:hAnsi="Palatino Linotype"/>
          <w:i w:val="0"/>
          <w:sz w:val="18"/>
          <w:szCs w:val="18"/>
        </w:rPr>
        <w:t>http://focusmaine.org/signature-industries/</w:t>
      </w:r>
    </w:p>
  </w:footnote>
  <w:footnote w:id="20">
    <w:p w:rsidR="00AF477D" w:rsidRPr="00AF477D" w:rsidRDefault="00AF477D">
      <w:pPr>
        <w:pStyle w:val="FootnoteText"/>
        <w:rPr>
          <w:rFonts w:ascii="Palatino Linotype" w:hAnsi="Palatino Linotype"/>
          <w:sz w:val="18"/>
          <w:szCs w:val="18"/>
        </w:rPr>
      </w:pPr>
      <w:r w:rsidRPr="00AF477D">
        <w:rPr>
          <w:rStyle w:val="FootnoteReference"/>
          <w:rFonts w:ascii="Palatino Linotype" w:hAnsi="Palatino Linotype"/>
          <w:sz w:val="18"/>
          <w:szCs w:val="18"/>
        </w:rPr>
        <w:footnoteRef/>
      </w:r>
      <w:r w:rsidRPr="00AF477D">
        <w:rPr>
          <w:rFonts w:ascii="Palatino Linotype" w:hAnsi="Palatino Linotype"/>
          <w:sz w:val="18"/>
          <w:szCs w:val="18"/>
        </w:rPr>
        <w:t xml:space="preserve"> The U.S. Census reports that Portland’s population peaked at some 77,000 in 1950, and after a l</w:t>
      </w:r>
      <w:r w:rsidR="0089571C">
        <w:rPr>
          <w:rFonts w:ascii="Palatino Linotype" w:hAnsi="Palatino Linotype"/>
          <w:sz w:val="18"/>
          <w:szCs w:val="18"/>
        </w:rPr>
        <w:t>o</w:t>
      </w:r>
      <w:r w:rsidRPr="00AF477D">
        <w:rPr>
          <w:rFonts w:ascii="Palatino Linotype" w:hAnsi="Palatino Linotype"/>
          <w:sz w:val="18"/>
          <w:szCs w:val="18"/>
        </w:rPr>
        <w:t>ng</w:t>
      </w:r>
      <w:r w:rsidR="0089571C">
        <w:rPr>
          <w:rFonts w:ascii="Palatino Linotype" w:hAnsi="Palatino Linotype"/>
          <w:sz w:val="18"/>
          <w:szCs w:val="18"/>
        </w:rPr>
        <w:t xml:space="preserve"> period of</w:t>
      </w:r>
      <w:r w:rsidRPr="00AF477D">
        <w:rPr>
          <w:rFonts w:ascii="Palatino Linotype" w:hAnsi="Palatino Linotype"/>
          <w:sz w:val="18"/>
          <w:szCs w:val="18"/>
        </w:rPr>
        <w:t xml:space="preserve"> decline has sta</w:t>
      </w:r>
      <w:r w:rsidR="0089571C">
        <w:rPr>
          <w:rFonts w:ascii="Palatino Linotype" w:hAnsi="Palatino Linotype"/>
          <w:sz w:val="18"/>
          <w:szCs w:val="18"/>
        </w:rPr>
        <w:t>b</w:t>
      </w:r>
      <w:r w:rsidRPr="00AF477D">
        <w:rPr>
          <w:rFonts w:ascii="Palatino Linotype" w:hAnsi="Palatino Linotype"/>
          <w:sz w:val="18"/>
          <w:szCs w:val="18"/>
        </w:rPr>
        <w:t xml:space="preserve">ilized today at some 66,000 persons. </w:t>
      </w:r>
    </w:p>
  </w:footnote>
  <w:footnote w:id="21">
    <w:p w:rsidR="00FD20D3" w:rsidRPr="00CF4829" w:rsidRDefault="00FD20D3" w:rsidP="00FD20D3">
      <w:pPr>
        <w:pStyle w:val="FootnoteText"/>
        <w:rPr>
          <w:rFonts w:ascii="Palatino Linotype" w:hAnsi="Palatino Linotype"/>
          <w:sz w:val="18"/>
          <w:szCs w:val="18"/>
        </w:rPr>
      </w:pPr>
      <w:r w:rsidRPr="002F0322">
        <w:rPr>
          <w:rStyle w:val="FootnoteReference"/>
          <w:rFonts w:ascii="Palatino Linotype" w:hAnsi="Palatino Linotype"/>
          <w:sz w:val="18"/>
          <w:szCs w:val="18"/>
        </w:rPr>
        <w:footnoteRef/>
      </w:r>
      <w:r>
        <w:rPr>
          <w:rFonts w:ascii="Palatino Linotype" w:hAnsi="Palatino Linotype"/>
          <w:sz w:val="18"/>
          <w:szCs w:val="18"/>
        </w:rPr>
        <w:t xml:space="preserve"> This is a safety issue as well as one of good urban design</w:t>
      </w:r>
      <w:r w:rsidRPr="002F0322">
        <w:rPr>
          <w:rFonts w:ascii="Palatino Linotype" w:hAnsi="Palatino Linotype"/>
          <w:sz w:val="18"/>
          <w:szCs w:val="18"/>
        </w:rPr>
        <w:t>.</w:t>
      </w:r>
      <w:r>
        <w:rPr>
          <w:rFonts w:ascii="Palatino Linotype" w:hAnsi="Palatino Linotype"/>
          <w:sz w:val="18"/>
          <w:szCs w:val="18"/>
        </w:rPr>
        <w:t xml:space="preserve"> Highway engineers advise that tight spacing of interchanges along I-295 between Baxter Blvd. and Congress St. East (north to south) – seven points of departure within 2.5 miles – </w:t>
      </w:r>
      <w:r w:rsidRPr="00232ACB">
        <w:rPr>
          <w:rFonts w:ascii="Palatino Linotype" w:hAnsi="Palatino Linotype"/>
          <w:sz w:val="18"/>
          <w:szCs w:val="18"/>
        </w:rPr>
        <w:t>fail</w:t>
      </w:r>
      <w:r>
        <w:rPr>
          <w:rFonts w:ascii="Palatino Linotype" w:hAnsi="Palatino Linotype"/>
          <w:sz w:val="18"/>
          <w:szCs w:val="18"/>
        </w:rPr>
        <w:t>s</w:t>
      </w:r>
      <w:r w:rsidRPr="00232ACB">
        <w:rPr>
          <w:rFonts w:ascii="Palatino Linotype" w:hAnsi="Palatino Linotype"/>
          <w:sz w:val="18"/>
          <w:szCs w:val="18"/>
        </w:rPr>
        <w:t xml:space="preserve"> to give motorists adequate sight distance and perspe</w:t>
      </w:r>
      <w:r>
        <w:rPr>
          <w:rFonts w:ascii="Palatino Linotype" w:hAnsi="Palatino Linotype"/>
          <w:sz w:val="18"/>
          <w:szCs w:val="18"/>
        </w:rPr>
        <w:t xml:space="preserve">ctive; creates excessive weaving and merging at 55mph; and is inconsistent on safety grounds with AASHTO standards for interstate design. See the “Green Book” sections 6.2.1 and 6.2.2, and </w:t>
      </w:r>
      <w:hyperlink r:id="rId4" w:tgtFrame="_blank" w:history="1">
        <w:r w:rsidRPr="00CF4829">
          <w:rPr>
            <w:rStyle w:val="Hyperlink"/>
            <w:rFonts w:ascii="Palatino Linotype" w:hAnsi="Palatino Linotype"/>
            <w:color w:val="auto"/>
            <w:sz w:val="18"/>
            <w:szCs w:val="18"/>
          </w:rPr>
          <w:t>https://www.fhwa.dot.gov/design/interstate/pubs/access/access.pdf</w:t>
        </w:r>
      </w:hyperlink>
      <w:r w:rsidRPr="00CF4829">
        <w:rPr>
          <w:rFonts w:ascii="Palatino Linotype" w:hAnsi="Palatino Linotype"/>
          <w:sz w:val="18"/>
          <w:szCs w:val="18"/>
        </w:rPr>
        <w:t xml:space="preserve">. </w:t>
      </w:r>
    </w:p>
  </w:footnote>
  <w:footnote w:id="22">
    <w:p w:rsidR="00E46854" w:rsidRPr="007622FB" w:rsidRDefault="00E46854">
      <w:pPr>
        <w:pStyle w:val="FootnoteText"/>
        <w:rPr>
          <w:rFonts w:ascii="Palatino Linotype" w:hAnsi="Palatino Linotype"/>
          <w:sz w:val="18"/>
          <w:szCs w:val="18"/>
        </w:rPr>
      </w:pPr>
      <w:r w:rsidRPr="00E46854">
        <w:rPr>
          <w:rStyle w:val="FootnoteReference"/>
          <w:rFonts w:ascii="Palatino Linotype" w:hAnsi="Palatino Linotype"/>
          <w:sz w:val="18"/>
          <w:szCs w:val="18"/>
        </w:rPr>
        <w:footnoteRef/>
      </w:r>
      <w:r w:rsidRPr="00E46854">
        <w:rPr>
          <w:rFonts w:ascii="Palatino Linotype" w:hAnsi="Palatino Linotype"/>
          <w:sz w:val="18"/>
          <w:szCs w:val="18"/>
        </w:rPr>
        <w:t xml:space="preserve"> </w:t>
      </w:r>
      <w:r w:rsidR="007B1BAF">
        <w:rPr>
          <w:rFonts w:ascii="Palatino Linotype" w:hAnsi="Palatino Linotype"/>
          <w:sz w:val="18"/>
          <w:szCs w:val="18"/>
        </w:rPr>
        <w:t>In June 2016 the</w:t>
      </w:r>
      <w:r w:rsidR="003D2452">
        <w:rPr>
          <w:rFonts w:ascii="Palatino Linotype" w:hAnsi="Palatino Linotype"/>
          <w:sz w:val="18"/>
          <w:szCs w:val="18"/>
        </w:rPr>
        <w:t xml:space="preserve"> Portland City Council adopted </w:t>
      </w:r>
      <w:r w:rsidR="007B1BAF" w:rsidRPr="008B13D0">
        <w:rPr>
          <w:rFonts w:ascii="Palatino Linotype" w:hAnsi="Palatino Linotype"/>
          <w:sz w:val="18"/>
          <w:szCs w:val="18"/>
        </w:rPr>
        <w:t xml:space="preserve">the </w:t>
      </w:r>
      <w:r w:rsidR="007B1BAF" w:rsidRPr="003D2452">
        <w:rPr>
          <w:rFonts w:ascii="Palatino Linotype" w:hAnsi="Palatino Linotype"/>
          <w:i/>
          <w:sz w:val="18"/>
          <w:szCs w:val="18"/>
        </w:rPr>
        <w:t>Franklin Street</w:t>
      </w:r>
      <w:r w:rsidR="003D2452" w:rsidRPr="003D2452">
        <w:rPr>
          <w:rFonts w:ascii="Palatino Linotype" w:hAnsi="Palatino Linotype"/>
          <w:i/>
          <w:sz w:val="18"/>
          <w:szCs w:val="18"/>
        </w:rPr>
        <w:t xml:space="preserve"> Final Design Report</w:t>
      </w:r>
      <w:r w:rsidR="003D2452">
        <w:rPr>
          <w:rFonts w:ascii="Palatino Linotype" w:hAnsi="Palatino Linotype"/>
          <w:i/>
          <w:sz w:val="18"/>
          <w:szCs w:val="18"/>
        </w:rPr>
        <w:t>,</w:t>
      </w:r>
      <w:r w:rsidR="003D2452">
        <w:rPr>
          <w:rFonts w:ascii="Palatino Linotype" w:hAnsi="Palatino Linotype"/>
          <w:sz w:val="18"/>
          <w:szCs w:val="18"/>
        </w:rPr>
        <w:t xml:space="preserve"> dated July 2015; see this and</w:t>
      </w:r>
      <w:r w:rsidR="008B13D0">
        <w:rPr>
          <w:rFonts w:ascii="Palatino Linotype" w:hAnsi="Palatino Linotype"/>
          <w:sz w:val="18"/>
          <w:szCs w:val="18"/>
        </w:rPr>
        <w:t xml:space="preserve"> concept drawings for the re-designed </w:t>
      </w:r>
      <w:r w:rsidR="003D2452">
        <w:rPr>
          <w:rFonts w:ascii="Palatino Linotype" w:hAnsi="Palatino Linotype"/>
          <w:sz w:val="18"/>
          <w:szCs w:val="18"/>
        </w:rPr>
        <w:t>Franklin St.</w:t>
      </w:r>
      <w:r w:rsidR="00885969">
        <w:rPr>
          <w:rFonts w:ascii="Palatino Linotype" w:hAnsi="Palatino Linotype"/>
          <w:sz w:val="18"/>
          <w:szCs w:val="18"/>
        </w:rPr>
        <w:t xml:space="preserve"> </w:t>
      </w:r>
      <w:r w:rsidR="003D2452">
        <w:rPr>
          <w:rFonts w:ascii="Palatino Linotype" w:hAnsi="Palatino Linotype"/>
          <w:sz w:val="18"/>
          <w:szCs w:val="18"/>
        </w:rPr>
        <w:t xml:space="preserve">at </w:t>
      </w:r>
      <w:r w:rsidR="007B1BAF">
        <w:rPr>
          <w:rFonts w:ascii="Palatino Linotype" w:hAnsi="Palatino Linotype"/>
          <w:sz w:val="18"/>
          <w:szCs w:val="18"/>
        </w:rPr>
        <w:t>www.</w:t>
      </w:r>
      <w:r w:rsidR="008B13D0">
        <w:rPr>
          <w:rFonts w:ascii="Palatino Linotype" w:hAnsi="Palatino Linotype"/>
          <w:sz w:val="18"/>
          <w:szCs w:val="18"/>
        </w:rPr>
        <w:t>portlandma</w:t>
      </w:r>
      <w:r w:rsidR="007B1BAF">
        <w:rPr>
          <w:rFonts w:ascii="Palatino Linotype" w:hAnsi="Palatino Linotype"/>
          <w:sz w:val="18"/>
          <w:szCs w:val="18"/>
        </w:rPr>
        <w:t>ine.g</w:t>
      </w:r>
      <w:r w:rsidR="003D2452">
        <w:rPr>
          <w:rFonts w:ascii="Palatino Linotype" w:hAnsi="Palatino Linotype"/>
          <w:sz w:val="18"/>
          <w:szCs w:val="18"/>
        </w:rPr>
        <w:t>ov/documentcenter/home/view/14304</w:t>
      </w:r>
      <w:r w:rsidR="007B1BAF">
        <w:rPr>
          <w:rFonts w:ascii="Palatino Linotype" w:hAnsi="Palatino Linotype"/>
          <w:sz w:val="18"/>
          <w:szCs w:val="18"/>
        </w:rPr>
        <w:t xml:space="preserve">. </w:t>
      </w:r>
    </w:p>
  </w:footnote>
  <w:footnote w:id="23">
    <w:p w:rsidR="00D44F85" w:rsidRDefault="00D44F85" w:rsidP="00D44F85">
      <w:pPr>
        <w:pStyle w:val="FootnoteText"/>
        <w:rPr>
          <w:rFonts w:ascii="Palatino Linotype" w:hAnsi="Palatino Linotype"/>
          <w:sz w:val="18"/>
          <w:szCs w:val="18"/>
        </w:rPr>
      </w:pPr>
      <w:r>
        <w:rPr>
          <w:rStyle w:val="FootnoteReference"/>
        </w:rPr>
        <w:footnoteRef/>
      </w:r>
      <w:r w:rsidRPr="0041368E">
        <w:rPr>
          <w:rFonts w:ascii="Palatino Linotype" w:hAnsi="Palatino Linotype"/>
          <w:sz w:val="18"/>
          <w:szCs w:val="18"/>
        </w:rPr>
        <w:t xml:space="preserve">John B. Robinson, </w:t>
      </w:r>
      <w:r w:rsidRPr="0041368E">
        <w:rPr>
          <w:rFonts w:ascii="Palatino Linotype" w:hAnsi="Palatino Linotype"/>
          <w:i/>
          <w:sz w:val="18"/>
          <w:szCs w:val="18"/>
        </w:rPr>
        <w:t>A Concise History of Portland, Maine</w:t>
      </w:r>
      <w:r w:rsidRPr="0041368E">
        <w:rPr>
          <w:rFonts w:ascii="Palatino Linotype" w:hAnsi="Palatino Linotype"/>
          <w:sz w:val="18"/>
          <w:szCs w:val="18"/>
        </w:rPr>
        <w:t xml:space="preserve">, </w:t>
      </w:r>
      <w:r>
        <w:rPr>
          <w:rFonts w:ascii="Palatino Linotype" w:hAnsi="Palatino Linotype"/>
          <w:sz w:val="18"/>
          <w:szCs w:val="18"/>
        </w:rPr>
        <w:t xml:space="preserve">Warren Machine Company, </w:t>
      </w:r>
      <w:r w:rsidRPr="0041368E">
        <w:rPr>
          <w:rFonts w:ascii="Palatino Linotype" w:hAnsi="Palatino Linotype"/>
          <w:sz w:val="18"/>
          <w:szCs w:val="18"/>
        </w:rPr>
        <w:t>2008, p.4.</w:t>
      </w:r>
    </w:p>
    <w:p w:rsidR="00D44F85" w:rsidRDefault="00D44F85">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EE" w:rsidRDefault="00A51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F45"/>
    <w:multiLevelType w:val="hybridMultilevel"/>
    <w:tmpl w:val="6A4A1944"/>
    <w:lvl w:ilvl="0" w:tplc="C34E43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428D6"/>
    <w:multiLevelType w:val="hybridMultilevel"/>
    <w:tmpl w:val="ADF665D0"/>
    <w:lvl w:ilvl="0" w:tplc="A8462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A4223"/>
    <w:multiLevelType w:val="hybridMultilevel"/>
    <w:tmpl w:val="07685A8A"/>
    <w:lvl w:ilvl="0" w:tplc="75D60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E61C2"/>
    <w:multiLevelType w:val="hybridMultilevel"/>
    <w:tmpl w:val="95766C08"/>
    <w:lvl w:ilvl="0" w:tplc="691E37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A7172"/>
    <w:multiLevelType w:val="hybridMultilevel"/>
    <w:tmpl w:val="C90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A81AAE"/>
    <w:multiLevelType w:val="hybridMultilevel"/>
    <w:tmpl w:val="4B7A1454"/>
    <w:lvl w:ilvl="0" w:tplc="2EBE8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85D10"/>
    <w:multiLevelType w:val="hybridMultilevel"/>
    <w:tmpl w:val="70B8C4AC"/>
    <w:lvl w:ilvl="0" w:tplc="1792B0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76D98"/>
    <w:multiLevelType w:val="hybridMultilevel"/>
    <w:tmpl w:val="82E2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D3"/>
    <w:rsid w:val="00010B8C"/>
    <w:rsid w:val="00011A40"/>
    <w:rsid w:val="0002360C"/>
    <w:rsid w:val="00034EAD"/>
    <w:rsid w:val="00053156"/>
    <w:rsid w:val="00065837"/>
    <w:rsid w:val="00073EE7"/>
    <w:rsid w:val="00076623"/>
    <w:rsid w:val="00080622"/>
    <w:rsid w:val="00083234"/>
    <w:rsid w:val="000A1F8E"/>
    <w:rsid w:val="000A39E5"/>
    <w:rsid w:val="000C09C1"/>
    <w:rsid w:val="000D33C8"/>
    <w:rsid w:val="000E65FB"/>
    <w:rsid w:val="001171C3"/>
    <w:rsid w:val="001653D9"/>
    <w:rsid w:val="0017528E"/>
    <w:rsid w:val="001849BF"/>
    <w:rsid w:val="001A425C"/>
    <w:rsid w:val="001B12D9"/>
    <w:rsid w:val="001B57CD"/>
    <w:rsid w:val="001C3CF6"/>
    <w:rsid w:val="001E4965"/>
    <w:rsid w:val="00201745"/>
    <w:rsid w:val="00216512"/>
    <w:rsid w:val="00234CBC"/>
    <w:rsid w:val="002376EC"/>
    <w:rsid w:val="00266244"/>
    <w:rsid w:val="002668B8"/>
    <w:rsid w:val="002826BE"/>
    <w:rsid w:val="002839E7"/>
    <w:rsid w:val="002A57E2"/>
    <w:rsid w:val="002F774E"/>
    <w:rsid w:val="00325902"/>
    <w:rsid w:val="00334E64"/>
    <w:rsid w:val="00346C16"/>
    <w:rsid w:val="003611BC"/>
    <w:rsid w:val="003B6C64"/>
    <w:rsid w:val="003C5F5A"/>
    <w:rsid w:val="003D2452"/>
    <w:rsid w:val="003D2BEE"/>
    <w:rsid w:val="003E04F3"/>
    <w:rsid w:val="003E4EEE"/>
    <w:rsid w:val="003F3BAD"/>
    <w:rsid w:val="004051EE"/>
    <w:rsid w:val="00405FA1"/>
    <w:rsid w:val="00423124"/>
    <w:rsid w:val="0043166D"/>
    <w:rsid w:val="00465751"/>
    <w:rsid w:val="0046732D"/>
    <w:rsid w:val="00483177"/>
    <w:rsid w:val="00497208"/>
    <w:rsid w:val="004A1C0D"/>
    <w:rsid w:val="004A6B17"/>
    <w:rsid w:val="004A79A4"/>
    <w:rsid w:val="004C7B25"/>
    <w:rsid w:val="004E0386"/>
    <w:rsid w:val="004E463F"/>
    <w:rsid w:val="004E7AAC"/>
    <w:rsid w:val="00505FE0"/>
    <w:rsid w:val="00530EC1"/>
    <w:rsid w:val="00550863"/>
    <w:rsid w:val="00584C1C"/>
    <w:rsid w:val="005850AD"/>
    <w:rsid w:val="00591A1D"/>
    <w:rsid w:val="005A145E"/>
    <w:rsid w:val="005B0F12"/>
    <w:rsid w:val="005D4CB0"/>
    <w:rsid w:val="005E0656"/>
    <w:rsid w:val="006167EF"/>
    <w:rsid w:val="00630305"/>
    <w:rsid w:val="00636D53"/>
    <w:rsid w:val="00655059"/>
    <w:rsid w:val="006713C8"/>
    <w:rsid w:val="00676378"/>
    <w:rsid w:val="0067789E"/>
    <w:rsid w:val="00686C1C"/>
    <w:rsid w:val="006C6164"/>
    <w:rsid w:val="006F3CEE"/>
    <w:rsid w:val="00706AC8"/>
    <w:rsid w:val="007145D5"/>
    <w:rsid w:val="00726991"/>
    <w:rsid w:val="007339C9"/>
    <w:rsid w:val="00734A50"/>
    <w:rsid w:val="00741E28"/>
    <w:rsid w:val="007622FB"/>
    <w:rsid w:val="007A3B04"/>
    <w:rsid w:val="007B1BAF"/>
    <w:rsid w:val="007D4269"/>
    <w:rsid w:val="008132CF"/>
    <w:rsid w:val="008304AA"/>
    <w:rsid w:val="00845B60"/>
    <w:rsid w:val="008545EE"/>
    <w:rsid w:val="008761D6"/>
    <w:rsid w:val="00882B7E"/>
    <w:rsid w:val="00885969"/>
    <w:rsid w:val="0089571C"/>
    <w:rsid w:val="00897655"/>
    <w:rsid w:val="008B13D0"/>
    <w:rsid w:val="008B6B69"/>
    <w:rsid w:val="008C2A3A"/>
    <w:rsid w:val="008C38B5"/>
    <w:rsid w:val="00921136"/>
    <w:rsid w:val="009464A2"/>
    <w:rsid w:val="00965FBD"/>
    <w:rsid w:val="009C5515"/>
    <w:rsid w:val="009E622D"/>
    <w:rsid w:val="009E64D3"/>
    <w:rsid w:val="00A17527"/>
    <w:rsid w:val="00A41C99"/>
    <w:rsid w:val="00A423BB"/>
    <w:rsid w:val="00A516FE"/>
    <w:rsid w:val="00A53E14"/>
    <w:rsid w:val="00A560FE"/>
    <w:rsid w:val="00A64C73"/>
    <w:rsid w:val="00A67ADB"/>
    <w:rsid w:val="00AA4177"/>
    <w:rsid w:val="00AB7941"/>
    <w:rsid w:val="00AE71B9"/>
    <w:rsid w:val="00AF15F8"/>
    <w:rsid w:val="00AF477D"/>
    <w:rsid w:val="00B25393"/>
    <w:rsid w:val="00B36CFA"/>
    <w:rsid w:val="00B43FF8"/>
    <w:rsid w:val="00B52A94"/>
    <w:rsid w:val="00B57E5E"/>
    <w:rsid w:val="00B937B6"/>
    <w:rsid w:val="00B94E61"/>
    <w:rsid w:val="00BB6F30"/>
    <w:rsid w:val="00BE2707"/>
    <w:rsid w:val="00C030EC"/>
    <w:rsid w:val="00C41B5C"/>
    <w:rsid w:val="00C574FE"/>
    <w:rsid w:val="00C74DEE"/>
    <w:rsid w:val="00C82F0B"/>
    <w:rsid w:val="00CB1876"/>
    <w:rsid w:val="00CC3364"/>
    <w:rsid w:val="00CE7F4A"/>
    <w:rsid w:val="00CF52EE"/>
    <w:rsid w:val="00D02157"/>
    <w:rsid w:val="00D12D01"/>
    <w:rsid w:val="00D249C5"/>
    <w:rsid w:val="00D33AA3"/>
    <w:rsid w:val="00D36F1B"/>
    <w:rsid w:val="00D44F85"/>
    <w:rsid w:val="00D45540"/>
    <w:rsid w:val="00D54324"/>
    <w:rsid w:val="00D62AD9"/>
    <w:rsid w:val="00D91ED1"/>
    <w:rsid w:val="00DC2F25"/>
    <w:rsid w:val="00DD0DE2"/>
    <w:rsid w:val="00E1287C"/>
    <w:rsid w:val="00E12D14"/>
    <w:rsid w:val="00E44842"/>
    <w:rsid w:val="00E46854"/>
    <w:rsid w:val="00E52BD7"/>
    <w:rsid w:val="00E626E0"/>
    <w:rsid w:val="00E92304"/>
    <w:rsid w:val="00E93C18"/>
    <w:rsid w:val="00E94DFA"/>
    <w:rsid w:val="00EB438F"/>
    <w:rsid w:val="00EC4F16"/>
    <w:rsid w:val="00F01F5B"/>
    <w:rsid w:val="00F254E1"/>
    <w:rsid w:val="00F67C59"/>
    <w:rsid w:val="00F90C46"/>
    <w:rsid w:val="00FB1D37"/>
    <w:rsid w:val="00FC14DE"/>
    <w:rsid w:val="00FC6B62"/>
    <w:rsid w:val="00FC6EBD"/>
    <w:rsid w:val="00FD2083"/>
    <w:rsid w:val="00FD20D3"/>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20D3"/>
    <w:pPr>
      <w:spacing w:after="0" w:line="240" w:lineRule="auto"/>
    </w:pPr>
    <w:rPr>
      <w:sz w:val="20"/>
      <w:szCs w:val="20"/>
    </w:rPr>
  </w:style>
  <w:style w:type="character" w:customStyle="1" w:styleId="FootnoteTextChar">
    <w:name w:val="Footnote Text Char"/>
    <w:basedOn w:val="DefaultParagraphFont"/>
    <w:link w:val="FootnoteText"/>
    <w:uiPriority w:val="99"/>
    <w:rsid w:val="00FD20D3"/>
    <w:rPr>
      <w:sz w:val="20"/>
      <w:szCs w:val="20"/>
    </w:rPr>
  </w:style>
  <w:style w:type="character" w:styleId="FootnoteReference">
    <w:name w:val="footnote reference"/>
    <w:basedOn w:val="DefaultParagraphFont"/>
    <w:uiPriority w:val="99"/>
    <w:semiHidden/>
    <w:unhideWhenUsed/>
    <w:rsid w:val="00FD20D3"/>
    <w:rPr>
      <w:vertAlign w:val="superscript"/>
    </w:rPr>
  </w:style>
  <w:style w:type="paragraph" w:styleId="Header">
    <w:name w:val="header"/>
    <w:basedOn w:val="Normal"/>
    <w:link w:val="HeaderChar"/>
    <w:uiPriority w:val="99"/>
    <w:unhideWhenUsed/>
    <w:rsid w:val="00FD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D3"/>
  </w:style>
  <w:style w:type="paragraph" w:styleId="Footer">
    <w:name w:val="footer"/>
    <w:basedOn w:val="Normal"/>
    <w:link w:val="FooterChar"/>
    <w:uiPriority w:val="99"/>
    <w:unhideWhenUsed/>
    <w:rsid w:val="00FD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D3"/>
  </w:style>
  <w:style w:type="character" w:styleId="Hyperlink">
    <w:name w:val="Hyperlink"/>
    <w:basedOn w:val="DefaultParagraphFont"/>
    <w:uiPriority w:val="99"/>
    <w:semiHidden/>
    <w:unhideWhenUsed/>
    <w:rsid w:val="00FD20D3"/>
    <w:rPr>
      <w:color w:val="0000FF"/>
      <w:u w:val="single"/>
    </w:rPr>
  </w:style>
  <w:style w:type="paragraph" w:styleId="ListParagraph">
    <w:name w:val="List Paragraph"/>
    <w:basedOn w:val="Normal"/>
    <w:uiPriority w:val="34"/>
    <w:qFormat/>
    <w:rsid w:val="00AF477D"/>
    <w:pPr>
      <w:ind w:left="720"/>
      <w:contextualSpacing/>
    </w:pPr>
  </w:style>
  <w:style w:type="character" w:styleId="HTMLCite">
    <w:name w:val="HTML Cite"/>
    <w:basedOn w:val="DefaultParagraphFont"/>
    <w:uiPriority w:val="99"/>
    <w:semiHidden/>
    <w:unhideWhenUsed/>
    <w:rsid w:val="00053156"/>
    <w:rPr>
      <w:i/>
      <w:iCs/>
    </w:rPr>
  </w:style>
  <w:style w:type="paragraph" w:styleId="BalloonText">
    <w:name w:val="Balloon Text"/>
    <w:basedOn w:val="Normal"/>
    <w:link w:val="BalloonTextChar"/>
    <w:uiPriority w:val="99"/>
    <w:semiHidden/>
    <w:unhideWhenUsed/>
    <w:rsid w:val="0040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20D3"/>
    <w:pPr>
      <w:spacing w:after="0" w:line="240" w:lineRule="auto"/>
    </w:pPr>
    <w:rPr>
      <w:sz w:val="20"/>
      <w:szCs w:val="20"/>
    </w:rPr>
  </w:style>
  <w:style w:type="character" w:customStyle="1" w:styleId="FootnoteTextChar">
    <w:name w:val="Footnote Text Char"/>
    <w:basedOn w:val="DefaultParagraphFont"/>
    <w:link w:val="FootnoteText"/>
    <w:uiPriority w:val="99"/>
    <w:rsid w:val="00FD20D3"/>
    <w:rPr>
      <w:sz w:val="20"/>
      <w:szCs w:val="20"/>
    </w:rPr>
  </w:style>
  <w:style w:type="character" w:styleId="FootnoteReference">
    <w:name w:val="footnote reference"/>
    <w:basedOn w:val="DefaultParagraphFont"/>
    <w:uiPriority w:val="99"/>
    <w:semiHidden/>
    <w:unhideWhenUsed/>
    <w:rsid w:val="00FD20D3"/>
    <w:rPr>
      <w:vertAlign w:val="superscript"/>
    </w:rPr>
  </w:style>
  <w:style w:type="paragraph" w:styleId="Header">
    <w:name w:val="header"/>
    <w:basedOn w:val="Normal"/>
    <w:link w:val="HeaderChar"/>
    <w:uiPriority w:val="99"/>
    <w:unhideWhenUsed/>
    <w:rsid w:val="00FD2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0D3"/>
  </w:style>
  <w:style w:type="paragraph" w:styleId="Footer">
    <w:name w:val="footer"/>
    <w:basedOn w:val="Normal"/>
    <w:link w:val="FooterChar"/>
    <w:uiPriority w:val="99"/>
    <w:unhideWhenUsed/>
    <w:rsid w:val="00FD2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D3"/>
  </w:style>
  <w:style w:type="character" w:styleId="Hyperlink">
    <w:name w:val="Hyperlink"/>
    <w:basedOn w:val="DefaultParagraphFont"/>
    <w:uiPriority w:val="99"/>
    <w:semiHidden/>
    <w:unhideWhenUsed/>
    <w:rsid w:val="00FD20D3"/>
    <w:rPr>
      <w:color w:val="0000FF"/>
      <w:u w:val="single"/>
    </w:rPr>
  </w:style>
  <w:style w:type="paragraph" w:styleId="ListParagraph">
    <w:name w:val="List Paragraph"/>
    <w:basedOn w:val="Normal"/>
    <w:uiPriority w:val="34"/>
    <w:qFormat/>
    <w:rsid w:val="00AF477D"/>
    <w:pPr>
      <w:ind w:left="720"/>
      <w:contextualSpacing/>
    </w:pPr>
  </w:style>
  <w:style w:type="character" w:styleId="HTMLCite">
    <w:name w:val="HTML Cite"/>
    <w:basedOn w:val="DefaultParagraphFont"/>
    <w:uiPriority w:val="99"/>
    <w:semiHidden/>
    <w:unhideWhenUsed/>
    <w:rsid w:val="00053156"/>
    <w:rPr>
      <w:i/>
      <w:iCs/>
    </w:rPr>
  </w:style>
  <w:style w:type="paragraph" w:styleId="BalloonText">
    <w:name w:val="Balloon Text"/>
    <w:basedOn w:val="Normal"/>
    <w:link w:val="BalloonTextChar"/>
    <w:uiPriority w:val="99"/>
    <w:semiHidden/>
    <w:unhideWhenUsed/>
    <w:rsid w:val="0040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7533">
      <w:bodyDiv w:val="1"/>
      <w:marLeft w:val="0"/>
      <w:marRight w:val="0"/>
      <w:marTop w:val="0"/>
      <w:marBottom w:val="0"/>
      <w:divBdr>
        <w:top w:val="none" w:sz="0" w:space="0" w:color="auto"/>
        <w:left w:val="none" w:sz="0" w:space="0" w:color="auto"/>
        <w:bottom w:val="none" w:sz="0" w:space="0" w:color="auto"/>
        <w:right w:val="none" w:sz="0" w:space="0" w:color="auto"/>
      </w:divBdr>
    </w:div>
    <w:div w:id="13520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en.wikipedia.org/wiki/Milwaukee_River"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en.wikipedia.org/wiki/Drawbridge"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7.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u.org/publicsquare/2016/08/26/morbid-and-mortal-toll-sprawl" TargetMode="External"/><Relationship Id="rId2" Type="http://schemas.openxmlformats.org/officeDocument/2006/relationships/hyperlink" Target="https://www.youtube.com/watch?v=hSr3BxmVIdI" TargetMode="External"/><Relationship Id="rId1" Type="http://schemas.openxmlformats.org/officeDocument/2006/relationships/hyperlink" Target="http://cityobservatory.org/states-on-the-front-lines-of-housing-affordability/" TargetMode="External"/><Relationship Id="rId4" Type="http://schemas.openxmlformats.org/officeDocument/2006/relationships/hyperlink" Target="https://www.fhwa.dot.gov/design/interstate/pubs/access/acces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BDBD06-74A0-4B3A-9BFC-4C3BEA84E02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CAB089FF-AED4-43AE-AAA2-68E31D3F9262}">
      <dgm:prSet phldrT="[Text]" custT="1"/>
      <dgm:spPr/>
      <dgm:t>
        <a:bodyPr/>
        <a:lstStyle/>
        <a:p>
          <a:r>
            <a:rPr lang="en-US" sz="1000">
              <a:latin typeface="Palatino Linotype" panose="02040502050505030304" pitchFamily="18" charset="0"/>
            </a:rPr>
            <a:t>Net Revenues</a:t>
          </a:r>
        </a:p>
      </dgm:t>
    </dgm:pt>
    <dgm:pt modelId="{EDEAEB52-ECED-40D5-9A5C-49CE3CFF8511}" type="parTrans" cxnId="{FC0385D0-38C0-4D08-A59D-47798E0D7A42}">
      <dgm:prSet/>
      <dgm:spPr/>
      <dgm:t>
        <a:bodyPr/>
        <a:lstStyle/>
        <a:p>
          <a:endParaRPr lang="en-US" sz="1000">
            <a:latin typeface="Palatino Linotype" panose="02040502050505030304" pitchFamily="18" charset="0"/>
          </a:endParaRPr>
        </a:p>
      </dgm:t>
    </dgm:pt>
    <dgm:pt modelId="{3C14D13D-558C-4969-B086-AF6039D68DD8}" type="sibTrans" cxnId="{FC0385D0-38C0-4D08-A59D-47798E0D7A42}">
      <dgm:prSet/>
      <dgm:spPr/>
      <dgm:t>
        <a:bodyPr/>
        <a:lstStyle/>
        <a:p>
          <a:endParaRPr lang="en-US" sz="1000">
            <a:latin typeface="Palatino Linotype" panose="02040502050505030304" pitchFamily="18" charset="0"/>
          </a:endParaRPr>
        </a:p>
      </dgm:t>
    </dgm:pt>
    <dgm:pt modelId="{7660B577-1182-4DFC-99E1-A3F3B0AC05D8}">
      <dgm:prSet phldrT="[Text]" custT="1"/>
      <dgm:spPr/>
      <dgm:t>
        <a:bodyPr/>
        <a:lstStyle/>
        <a:p>
          <a:r>
            <a:rPr lang="en-US" sz="1000">
              <a:latin typeface="Palatino Linotype" panose="02040502050505030304" pitchFamily="18" charset="0"/>
            </a:rPr>
            <a:t>Capital Plan</a:t>
          </a:r>
        </a:p>
      </dgm:t>
    </dgm:pt>
    <dgm:pt modelId="{093B161B-A27F-49CB-893D-5B7F5721A503}" type="parTrans" cxnId="{E978924E-242A-4EBD-84B6-902E6574D4E9}">
      <dgm:prSet/>
      <dgm:spPr/>
      <dgm:t>
        <a:bodyPr/>
        <a:lstStyle/>
        <a:p>
          <a:endParaRPr lang="en-US" sz="1000">
            <a:latin typeface="Palatino Linotype" panose="02040502050505030304" pitchFamily="18" charset="0"/>
          </a:endParaRPr>
        </a:p>
      </dgm:t>
    </dgm:pt>
    <dgm:pt modelId="{AE2C01D9-9576-42EB-A79E-55413BD66033}" type="sibTrans" cxnId="{E978924E-242A-4EBD-84B6-902E6574D4E9}">
      <dgm:prSet/>
      <dgm:spPr/>
      <dgm:t>
        <a:bodyPr/>
        <a:lstStyle/>
        <a:p>
          <a:endParaRPr lang="en-US" sz="1000">
            <a:latin typeface="Palatino Linotype" panose="02040502050505030304" pitchFamily="18" charset="0"/>
          </a:endParaRPr>
        </a:p>
      </dgm:t>
    </dgm:pt>
    <dgm:pt modelId="{F88695BC-FE50-4DEF-83EF-3E190BA31BB3}">
      <dgm:prSet phldrT="[Text]" custT="1"/>
      <dgm:spPr/>
      <dgm:t>
        <a:bodyPr/>
        <a:lstStyle/>
        <a:p>
          <a:r>
            <a:rPr lang="en-US" sz="1000">
              <a:latin typeface="Palatino Linotype" panose="02040502050505030304" pitchFamily="18" charset="0"/>
            </a:rPr>
            <a:t>Invest-ment</a:t>
          </a:r>
        </a:p>
      </dgm:t>
    </dgm:pt>
    <dgm:pt modelId="{2A3A64DF-7A4A-4A6A-B879-85C15728E9CE}" type="parTrans" cxnId="{A30A4962-FE16-4FDC-8D5D-BB3E18822A8D}">
      <dgm:prSet/>
      <dgm:spPr/>
      <dgm:t>
        <a:bodyPr/>
        <a:lstStyle/>
        <a:p>
          <a:endParaRPr lang="en-US" sz="1000">
            <a:latin typeface="Palatino Linotype" panose="02040502050505030304" pitchFamily="18" charset="0"/>
          </a:endParaRPr>
        </a:p>
      </dgm:t>
    </dgm:pt>
    <dgm:pt modelId="{098AFA5B-C45C-4381-B7D3-8F3F420C8576}" type="sibTrans" cxnId="{A30A4962-FE16-4FDC-8D5D-BB3E18822A8D}">
      <dgm:prSet/>
      <dgm:spPr/>
      <dgm:t>
        <a:bodyPr/>
        <a:lstStyle/>
        <a:p>
          <a:endParaRPr lang="en-US" sz="1000">
            <a:latin typeface="Palatino Linotype" panose="02040502050505030304" pitchFamily="18" charset="0"/>
          </a:endParaRPr>
        </a:p>
      </dgm:t>
    </dgm:pt>
    <dgm:pt modelId="{A42C5BE0-1EED-40AD-B205-7EC16D53E5AE}">
      <dgm:prSet phldrT="[Text]" custT="1"/>
      <dgm:spPr/>
      <dgm:t>
        <a:bodyPr/>
        <a:lstStyle/>
        <a:p>
          <a:r>
            <a:rPr lang="en-US" sz="1000">
              <a:latin typeface="Palatino Linotype" panose="02040502050505030304" pitchFamily="18" charset="0"/>
            </a:rPr>
            <a:t>Quality of Life</a:t>
          </a:r>
        </a:p>
      </dgm:t>
    </dgm:pt>
    <dgm:pt modelId="{D965D875-909F-406B-9487-5A7475B5BE4C}" type="parTrans" cxnId="{27DE5088-50EA-4D6D-BB04-20D591B6BB7C}">
      <dgm:prSet/>
      <dgm:spPr/>
      <dgm:t>
        <a:bodyPr/>
        <a:lstStyle/>
        <a:p>
          <a:endParaRPr lang="en-US" sz="1000">
            <a:latin typeface="Palatino Linotype" panose="02040502050505030304" pitchFamily="18" charset="0"/>
          </a:endParaRPr>
        </a:p>
      </dgm:t>
    </dgm:pt>
    <dgm:pt modelId="{4ED84FBF-26C8-4911-980D-F3BA7B2D78A3}" type="sibTrans" cxnId="{27DE5088-50EA-4D6D-BB04-20D591B6BB7C}">
      <dgm:prSet/>
      <dgm:spPr/>
      <dgm:t>
        <a:bodyPr/>
        <a:lstStyle/>
        <a:p>
          <a:endParaRPr lang="en-US" sz="1000">
            <a:latin typeface="Palatino Linotype" panose="02040502050505030304" pitchFamily="18" charset="0"/>
          </a:endParaRPr>
        </a:p>
      </dgm:t>
    </dgm:pt>
    <dgm:pt modelId="{063AC260-E5CA-4FB0-A501-C9D59A37343F}">
      <dgm:prSet phldrT="[Text]" custT="1"/>
      <dgm:spPr/>
      <dgm:t>
        <a:bodyPr/>
        <a:lstStyle/>
        <a:p>
          <a:r>
            <a:rPr lang="en-US" sz="1000">
              <a:latin typeface="Palatino Linotype" panose="02040502050505030304" pitchFamily="18" charset="0"/>
            </a:rPr>
            <a:t>Growth</a:t>
          </a:r>
        </a:p>
      </dgm:t>
    </dgm:pt>
    <dgm:pt modelId="{54D3DE16-3A6B-4CCA-9054-F553701550B7}" type="parTrans" cxnId="{8900F637-3394-4F1C-9A8E-41C0FA20EF08}">
      <dgm:prSet/>
      <dgm:spPr/>
      <dgm:t>
        <a:bodyPr/>
        <a:lstStyle/>
        <a:p>
          <a:endParaRPr lang="en-US" sz="1000">
            <a:latin typeface="Palatino Linotype" panose="02040502050505030304" pitchFamily="18" charset="0"/>
          </a:endParaRPr>
        </a:p>
      </dgm:t>
    </dgm:pt>
    <dgm:pt modelId="{37037021-CF7D-49FA-8AF3-C161F949788A}" type="sibTrans" cxnId="{8900F637-3394-4F1C-9A8E-41C0FA20EF08}">
      <dgm:prSet/>
      <dgm:spPr/>
      <dgm:t>
        <a:bodyPr/>
        <a:lstStyle/>
        <a:p>
          <a:endParaRPr lang="en-US" sz="1000">
            <a:latin typeface="Palatino Linotype" panose="02040502050505030304" pitchFamily="18" charset="0"/>
          </a:endParaRPr>
        </a:p>
      </dgm:t>
    </dgm:pt>
    <dgm:pt modelId="{9027C2C3-29EF-4368-8157-5927A16AC820}" type="pres">
      <dgm:prSet presAssocID="{A6BDBD06-74A0-4B3A-9BFC-4C3BEA84E02E}" presName="cycle" presStyleCnt="0">
        <dgm:presLayoutVars>
          <dgm:dir/>
          <dgm:resizeHandles val="exact"/>
        </dgm:presLayoutVars>
      </dgm:prSet>
      <dgm:spPr/>
      <dgm:t>
        <a:bodyPr/>
        <a:lstStyle/>
        <a:p>
          <a:endParaRPr lang="en-US"/>
        </a:p>
      </dgm:t>
    </dgm:pt>
    <dgm:pt modelId="{DF1A4D2E-4DB7-42DD-BB30-A638CBE63060}" type="pres">
      <dgm:prSet presAssocID="{CAB089FF-AED4-43AE-AAA2-68E31D3F9262}" presName="dummy" presStyleCnt="0"/>
      <dgm:spPr/>
    </dgm:pt>
    <dgm:pt modelId="{BF8F20B7-234F-4758-B1D4-70A81964FB7E}" type="pres">
      <dgm:prSet presAssocID="{CAB089FF-AED4-43AE-AAA2-68E31D3F9262}" presName="node" presStyleLbl="revTx" presStyleIdx="0" presStyleCnt="5">
        <dgm:presLayoutVars>
          <dgm:bulletEnabled val="1"/>
        </dgm:presLayoutVars>
      </dgm:prSet>
      <dgm:spPr/>
      <dgm:t>
        <a:bodyPr/>
        <a:lstStyle/>
        <a:p>
          <a:endParaRPr lang="en-US"/>
        </a:p>
      </dgm:t>
    </dgm:pt>
    <dgm:pt modelId="{34E36AB1-9250-4FEF-BC32-5C7793A8E68E}" type="pres">
      <dgm:prSet presAssocID="{3C14D13D-558C-4969-B086-AF6039D68DD8}" presName="sibTrans" presStyleLbl="node1" presStyleIdx="0" presStyleCnt="5"/>
      <dgm:spPr/>
      <dgm:t>
        <a:bodyPr/>
        <a:lstStyle/>
        <a:p>
          <a:endParaRPr lang="en-US"/>
        </a:p>
      </dgm:t>
    </dgm:pt>
    <dgm:pt modelId="{69CE24CC-8C4A-4895-A622-D52CAA13A6CB}" type="pres">
      <dgm:prSet presAssocID="{7660B577-1182-4DFC-99E1-A3F3B0AC05D8}" presName="dummy" presStyleCnt="0"/>
      <dgm:spPr/>
    </dgm:pt>
    <dgm:pt modelId="{910492B6-8E70-4BC5-AFD2-DC154444A428}" type="pres">
      <dgm:prSet presAssocID="{7660B577-1182-4DFC-99E1-A3F3B0AC05D8}" presName="node" presStyleLbl="revTx" presStyleIdx="1" presStyleCnt="5">
        <dgm:presLayoutVars>
          <dgm:bulletEnabled val="1"/>
        </dgm:presLayoutVars>
      </dgm:prSet>
      <dgm:spPr/>
      <dgm:t>
        <a:bodyPr/>
        <a:lstStyle/>
        <a:p>
          <a:endParaRPr lang="en-US"/>
        </a:p>
      </dgm:t>
    </dgm:pt>
    <dgm:pt modelId="{F3C648E1-FE20-42EF-A3E9-D3310625967E}" type="pres">
      <dgm:prSet presAssocID="{AE2C01D9-9576-42EB-A79E-55413BD66033}" presName="sibTrans" presStyleLbl="node1" presStyleIdx="1" presStyleCnt="5"/>
      <dgm:spPr/>
      <dgm:t>
        <a:bodyPr/>
        <a:lstStyle/>
        <a:p>
          <a:endParaRPr lang="en-US"/>
        </a:p>
      </dgm:t>
    </dgm:pt>
    <dgm:pt modelId="{02FB294E-C910-450E-B000-83A8E09D81F5}" type="pres">
      <dgm:prSet presAssocID="{F88695BC-FE50-4DEF-83EF-3E190BA31BB3}" presName="dummy" presStyleCnt="0"/>
      <dgm:spPr/>
    </dgm:pt>
    <dgm:pt modelId="{C969A013-2872-493D-B029-D33E935A46FC}" type="pres">
      <dgm:prSet presAssocID="{F88695BC-FE50-4DEF-83EF-3E190BA31BB3}" presName="node" presStyleLbl="revTx" presStyleIdx="2" presStyleCnt="5">
        <dgm:presLayoutVars>
          <dgm:bulletEnabled val="1"/>
        </dgm:presLayoutVars>
      </dgm:prSet>
      <dgm:spPr/>
      <dgm:t>
        <a:bodyPr/>
        <a:lstStyle/>
        <a:p>
          <a:endParaRPr lang="en-US"/>
        </a:p>
      </dgm:t>
    </dgm:pt>
    <dgm:pt modelId="{9CF582C4-FBBE-491C-8D4F-D88304BB14D9}" type="pres">
      <dgm:prSet presAssocID="{098AFA5B-C45C-4381-B7D3-8F3F420C8576}" presName="sibTrans" presStyleLbl="node1" presStyleIdx="2" presStyleCnt="5"/>
      <dgm:spPr/>
      <dgm:t>
        <a:bodyPr/>
        <a:lstStyle/>
        <a:p>
          <a:endParaRPr lang="en-US"/>
        </a:p>
      </dgm:t>
    </dgm:pt>
    <dgm:pt modelId="{DD9BDB1B-9713-460F-81F4-267034DCC91B}" type="pres">
      <dgm:prSet presAssocID="{A42C5BE0-1EED-40AD-B205-7EC16D53E5AE}" presName="dummy" presStyleCnt="0"/>
      <dgm:spPr/>
    </dgm:pt>
    <dgm:pt modelId="{88347DD2-7083-4D0E-B37D-A2ED0F61A6F7}" type="pres">
      <dgm:prSet presAssocID="{A42C5BE0-1EED-40AD-B205-7EC16D53E5AE}" presName="node" presStyleLbl="revTx" presStyleIdx="3" presStyleCnt="5">
        <dgm:presLayoutVars>
          <dgm:bulletEnabled val="1"/>
        </dgm:presLayoutVars>
      </dgm:prSet>
      <dgm:spPr/>
      <dgm:t>
        <a:bodyPr/>
        <a:lstStyle/>
        <a:p>
          <a:endParaRPr lang="en-US"/>
        </a:p>
      </dgm:t>
    </dgm:pt>
    <dgm:pt modelId="{CB620956-465B-4185-A9DE-5DBA8A7A3A5C}" type="pres">
      <dgm:prSet presAssocID="{4ED84FBF-26C8-4911-980D-F3BA7B2D78A3}" presName="sibTrans" presStyleLbl="node1" presStyleIdx="3" presStyleCnt="5"/>
      <dgm:spPr/>
      <dgm:t>
        <a:bodyPr/>
        <a:lstStyle/>
        <a:p>
          <a:endParaRPr lang="en-US"/>
        </a:p>
      </dgm:t>
    </dgm:pt>
    <dgm:pt modelId="{86C4A3DE-CAD4-43E2-BC9C-9C933ADEAD4D}" type="pres">
      <dgm:prSet presAssocID="{063AC260-E5CA-4FB0-A501-C9D59A37343F}" presName="dummy" presStyleCnt="0"/>
      <dgm:spPr/>
    </dgm:pt>
    <dgm:pt modelId="{928D8935-F79D-4178-9804-74ABDB344967}" type="pres">
      <dgm:prSet presAssocID="{063AC260-E5CA-4FB0-A501-C9D59A37343F}" presName="node" presStyleLbl="revTx" presStyleIdx="4" presStyleCnt="5">
        <dgm:presLayoutVars>
          <dgm:bulletEnabled val="1"/>
        </dgm:presLayoutVars>
      </dgm:prSet>
      <dgm:spPr/>
      <dgm:t>
        <a:bodyPr/>
        <a:lstStyle/>
        <a:p>
          <a:endParaRPr lang="en-US"/>
        </a:p>
      </dgm:t>
    </dgm:pt>
    <dgm:pt modelId="{F98706C4-C2BE-419E-AEFD-3960887883E8}" type="pres">
      <dgm:prSet presAssocID="{37037021-CF7D-49FA-8AF3-C161F949788A}" presName="sibTrans" presStyleLbl="node1" presStyleIdx="4" presStyleCnt="5"/>
      <dgm:spPr/>
      <dgm:t>
        <a:bodyPr/>
        <a:lstStyle/>
        <a:p>
          <a:endParaRPr lang="en-US"/>
        </a:p>
      </dgm:t>
    </dgm:pt>
  </dgm:ptLst>
  <dgm:cxnLst>
    <dgm:cxn modelId="{F9F57E67-DB0A-432B-90A1-FB29E542F47A}" type="presOf" srcId="{4ED84FBF-26C8-4911-980D-F3BA7B2D78A3}" destId="{CB620956-465B-4185-A9DE-5DBA8A7A3A5C}" srcOrd="0" destOrd="0" presId="urn:microsoft.com/office/officeart/2005/8/layout/cycle1"/>
    <dgm:cxn modelId="{8D80CEA8-3597-419A-BE2D-50FEB4957CD0}" type="presOf" srcId="{A42C5BE0-1EED-40AD-B205-7EC16D53E5AE}" destId="{88347DD2-7083-4D0E-B37D-A2ED0F61A6F7}" srcOrd="0" destOrd="0" presId="urn:microsoft.com/office/officeart/2005/8/layout/cycle1"/>
    <dgm:cxn modelId="{FC0385D0-38C0-4D08-A59D-47798E0D7A42}" srcId="{A6BDBD06-74A0-4B3A-9BFC-4C3BEA84E02E}" destId="{CAB089FF-AED4-43AE-AAA2-68E31D3F9262}" srcOrd="0" destOrd="0" parTransId="{EDEAEB52-ECED-40D5-9A5C-49CE3CFF8511}" sibTransId="{3C14D13D-558C-4969-B086-AF6039D68DD8}"/>
    <dgm:cxn modelId="{0D71AD58-99A8-473B-959A-E5A96D7DBA52}" type="presOf" srcId="{CAB089FF-AED4-43AE-AAA2-68E31D3F9262}" destId="{BF8F20B7-234F-4758-B1D4-70A81964FB7E}" srcOrd="0" destOrd="0" presId="urn:microsoft.com/office/officeart/2005/8/layout/cycle1"/>
    <dgm:cxn modelId="{EB7122D4-0649-4606-B5C9-BDAAE80D2647}" type="presOf" srcId="{AE2C01D9-9576-42EB-A79E-55413BD66033}" destId="{F3C648E1-FE20-42EF-A3E9-D3310625967E}" srcOrd="0" destOrd="0" presId="urn:microsoft.com/office/officeart/2005/8/layout/cycle1"/>
    <dgm:cxn modelId="{CF863D57-1CB3-4F09-95A5-B7B4204FA2AC}" type="presOf" srcId="{A6BDBD06-74A0-4B3A-9BFC-4C3BEA84E02E}" destId="{9027C2C3-29EF-4368-8157-5927A16AC820}" srcOrd="0" destOrd="0" presId="urn:microsoft.com/office/officeart/2005/8/layout/cycle1"/>
    <dgm:cxn modelId="{B0ED3C21-891C-4BCF-BABF-D11305A1F6E8}" type="presOf" srcId="{37037021-CF7D-49FA-8AF3-C161F949788A}" destId="{F98706C4-C2BE-419E-AEFD-3960887883E8}" srcOrd="0" destOrd="0" presId="urn:microsoft.com/office/officeart/2005/8/layout/cycle1"/>
    <dgm:cxn modelId="{8900F637-3394-4F1C-9A8E-41C0FA20EF08}" srcId="{A6BDBD06-74A0-4B3A-9BFC-4C3BEA84E02E}" destId="{063AC260-E5CA-4FB0-A501-C9D59A37343F}" srcOrd="4" destOrd="0" parTransId="{54D3DE16-3A6B-4CCA-9054-F553701550B7}" sibTransId="{37037021-CF7D-49FA-8AF3-C161F949788A}"/>
    <dgm:cxn modelId="{FB1AD922-9481-4915-BF4F-253B75A86037}" type="presOf" srcId="{7660B577-1182-4DFC-99E1-A3F3B0AC05D8}" destId="{910492B6-8E70-4BC5-AFD2-DC154444A428}" srcOrd="0" destOrd="0" presId="urn:microsoft.com/office/officeart/2005/8/layout/cycle1"/>
    <dgm:cxn modelId="{1EACE13F-46B8-4D1E-9B1C-6543C27115C8}" type="presOf" srcId="{063AC260-E5CA-4FB0-A501-C9D59A37343F}" destId="{928D8935-F79D-4178-9804-74ABDB344967}" srcOrd="0" destOrd="0" presId="urn:microsoft.com/office/officeart/2005/8/layout/cycle1"/>
    <dgm:cxn modelId="{69067423-DC25-446A-8E83-455B16423821}" type="presOf" srcId="{3C14D13D-558C-4969-B086-AF6039D68DD8}" destId="{34E36AB1-9250-4FEF-BC32-5C7793A8E68E}" srcOrd="0" destOrd="0" presId="urn:microsoft.com/office/officeart/2005/8/layout/cycle1"/>
    <dgm:cxn modelId="{1F65FCC4-1FF5-4529-A298-3430A5FB9DF3}" type="presOf" srcId="{098AFA5B-C45C-4381-B7D3-8F3F420C8576}" destId="{9CF582C4-FBBE-491C-8D4F-D88304BB14D9}" srcOrd="0" destOrd="0" presId="urn:microsoft.com/office/officeart/2005/8/layout/cycle1"/>
    <dgm:cxn modelId="{A30A4962-FE16-4FDC-8D5D-BB3E18822A8D}" srcId="{A6BDBD06-74A0-4B3A-9BFC-4C3BEA84E02E}" destId="{F88695BC-FE50-4DEF-83EF-3E190BA31BB3}" srcOrd="2" destOrd="0" parTransId="{2A3A64DF-7A4A-4A6A-B879-85C15728E9CE}" sibTransId="{098AFA5B-C45C-4381-B7D3-8F3F420C8576}"/>
    <dgm:cxn modelId="{27DE5088-50EA-4D6D-BB04-20D591B6BB7C}" srcId="{A6BDBD06-74A0-4B3A-9BFC-4C3BEA84E02E}" destId="{A42C5BE0-1EED-40AD-B205-7EC16D53E5AE}" srcOrd="3" destOrd="0" parTransId="{D965D875-909F-406B-9487-5A7475B5BE4C}" sibTransId="{4ED84FBF-26C8-4911-980D-F3BA7B2D78A3}"/>
    <dgm:cxn modelId="{E978924E-242A-4EBD-84B6-902E6574D4E9}" srcId="{A6BDBD06-74A0-4B3A-9BFC-4C3BEA84E02E}" destId="{7660B577-1182-4DFC-99E1-A3F3B0AC05D8}" srcOrd="1" destOrd="0" parTransId="{093B161B-A27F-49CB-893D-5B7F5721A503}" sibTransId="{AE2C01D9-9576-42EB-A79E-55413BD66033}"/>
    <dgm:cxn modelId="{7650A532-6AE6-42AA-BBBA-1ACC843A91FE}" type="presOf" srcId="{F88695BC-FE50-4DEF-83EF-3E190BA31BB3}" destId="{C969A013-2872-493D-B029-D33E935A46FC}" srcOrd="0" destOrd="0" presId="urn:microsoft.com/office/officeart/2005/8/layout/cycle1"/>
    <dgm:cxn modelId="{66E3FBF6-0BA5-4F6A-97CF-309017BF8121}" type="presParOf" srcId="{9027C2C3-29EF-4368-8157-5927A16AC820}" destId="{DF1A4D2E-4DB7-42DD-BB30-A638CBE63060}" srcOrd="0" destOrd="0" presId="urn:microsoft.com/office/officeart/2005/8/layout/cycle1"/>
    <dgm:cxn modelId="{9B8C69F5-4EF0-4425-A0A4-6EFA83F6BD96}" type="presParOf" srcId="{9027C2C3-29EF-4368-8157-5927A16AC820}" destId="{BF8F20B7-234F-4758-B1D4-70A81964FB7E}" srcOrd="1" destOrd="0" presId="urn:microsoft.com/office/officeart/2005/8/layout/cycle1"/>
    <dgm:cxn modelId="{DD8EF912-D60E-4A66-9D78-C06A265C763B}" type="presParOf" srcId="{9027C2C3-29EF-4368-8157-5927A16AC820}" destId="{34E36AB1-9250-4FEF-BC32-5C7793A8E68E}" srcOrd="2" destOrd="0" presId="urn:microsoft.com/office/officeart/2005/8/layout/cycle1"/>
    <dgm:cxn modelId="{737EFCAC-1FA2-4883-AECD-C7101BB005EC}" type="presParOf" srcId="{9027C2C3-29EF-4368-8157-5927A16AC820}" destId="{69CE24CC-8C4A-4895-A622-D52CAA13A6CB}" srcOrd="3" destOrd="0" presId="urn:microsoft.com/office/officeart/2005/8/layout/cycle1"/>
    <dgm:cxn modelId="{0CAB8E70-5D91-4F41-9CFF-B8D2223DD2A0}" type="presParOf" srcId="{9027C2C3-29EF-4368-8157-5927A16AC820}" destId="{910492B6-8E70-4BC5-AFD2-DC154444A428}" srcOrd="4" destOrd="0" presId="urn:microsoft.com/office/officeart/2005/8/layout/cycle1"/>
    <dgm:cxn modelId="{A6EB6E4D-31B5-426D-A902-AAFF92CEB5F4}" type="presParOf" srcId="{9027C2C3-29EF-4368-8157-5927A16AC820}" destId="{F3C648E1-FE20-42EF-A3E9-D3310625967E}" srcOrd="5" destOrd="0" presId="urn:microsoft.com/office/officeart/2005/8/layout/cycle1"/>
    <dgm:cxn modelId="{A47B6A1E-2137-4F71-A959-222C2754B3E5}" type="presParOf" srcId="{9027C2C3-29EF-4368-8157-5927A16AC820}" destId="{02FB294E-C910-450E-B000-83A8E09D81F5}" srcOrd="6" destOrd="0" presId="urn:microsoft.com/office/officeart/2005/8/layout/cycle1"/>
    <dgm:cxn modelId="{AEB90D16-B74A-44E9-B68D-80C7E37FC591}" type="presParOf" srcId="{9027C2C3-29EF-4368-8157-5927A16AC820}" destId="{C969A013-2872-493D-B029-D33E935A46FC}" srcOrd="7" destOrd="0" presId="urn:microsoft.com/office/officeart/2005/8/layout/cycle1"/>
    <dgm:cxn modelId="{1711ED11-9143-4452-84AB-6EDDBB419DFA}" type="presParOf" srcId="{9027C2C3-29EF-4368-8157-5927A16AC820}" destId="{9CF582C4-FBBE-491C-8D4F-D88304BB14D9}" srcOrd="8" destOrd="0" presId="urn:microsoft.com/office/officeart/2005/8/layout/cycle1"/>
    <dgm:cxn modelId="{2C90ECA6-E99C-4FB4-8300-2B1EB12790EF}" type="presParOf" srcId="{9027C2C3-29EF-4368-8157-5927A16AC820}" destId="{DD9BDB1B-9713-460F-81F4-267034DCC91B}" srcOrd="9" destOrd="0" presId="urn:microsoft.com/office/officeart/2005/8/layout/cycle1"/>
    <dgm:cxn modelId="{02BFC906-FB20-4690-B494-BC6AFBAA18D5}" type="presParOf" srcId="{9027C2C3-29EF-4368-8157-5927A16AC820}" destId="{88347DD2-7083-4D0E-B37D-A2ED0F61A6F7}" srcOrd="10" destOrd="0" presId="urn:microsoft.com/office/officeart/2005/8/layout/cycle1"/>
    <dgm:cxn modelId="{4ED2B7DB-D189-498B-AECA-1274991D52FD}" type="presParOf" srcId="{9027C2C3-29EF-4368-8157-5927A16AC820}" destId="{CB620956-465B-4185-A9DE-5DBA8A7A3A5C}" srcOrd="11" destOrd="0" presId="urn:microsoft.com/office/officeart/2005/8/layout/cycle1"/>
    <dgm:cxn modelId="{0D69835D-8605-4DC9-AD25-CC5F71B61F09}" type="presParOf" srcId="{9027C2C3-29EF-4368-8157-5927A16AC820}" destId="{86C4A3DE-CAD4-43E2-BC9C-9C933ADEAD4D}" srcOrd="12" destOrd="0" presId="urn:microsoft.com/office/officeart/2005/8/layout/cycle1"/>
    <dgm:cxn modelId="{C098587A-34BF-4475-925F-3B462F072811}" type="presParOf" srcId="{9027C2C3-29EF-4368-8157-5927A16AC820}" destId="{928D8935-F79D-4178-9804-74ABDB344967}" srcOrd="13" destOrd="0" presId="urn:microsoft.com/office/officeart/2005/8/layout/cycle1"/>
    <dgm:cxn modelId="{9F5E7421-F1A8-4ADC-A00E-F8859FB27587}" type="presParOf" srcId="{9027C2C3-29EF-4368-8157-5927A16AC820}" destId="{F98706C4-C2BE-419E-AEFD-3960887883E8}"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F20B7-234F-4758-B1D4-70A81964FB7E}">
      <dsp:nvSpPr>
        <dsp:cNvPr id="0" name=""/>
        <dsp:cNvSpPr/>
      </dsp:nvSpPr>
      <dsp:spPr>
        <a:xfrm>
          <a:off x="3128352" y="19142"/>
          <a:ext cx="654404" cy="654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Net Revenues</a:t>
          </a:r>
        </a:p>
      </dsp:txBody>
      <dsp:txXfrm>
        <a:off x="3128352" y="19142"/>
        <a:ext cx="654404" cy="654404"/>
      </dsp:txXfrm>
    </dsp:sp>
    <dsp:sp modelId="{34E36AB1-9250-4FEF-BC32-5C7793A8E68E}">
      <dsp:nvSpPr>
        <dsp:cNvPr id="0" name=""/>
        <dsp:cNvSpPr/>
      </dsp:nvSpPr>
      <dsp:spPr>
        <a:xfrm>
          <a:off x="1588573" y="164"/>
          <a:ext cx="2454032" cy="2454032"/>
        </a:xfrm>
        <a:prstGeom prst="circularArrow">
          <a:avLst>
            <a:gd name="adj1" fmla="val 5200"/>
            <a:gd name="adj2" fmla="val 335899"/>
            <a:gd name="adj3" fmla="val 21293299"/>
            <a:gd name="adj4" fmla="val 19766189"/>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0492B6-8E70-4BC5-AFD2-DC154444A428}">
      <dsp:nvSpPr>
        <dsp:cNvPr id="0" name=""/>
        <dsp:cNvSpPr/>
      </dsp:nvSpPr>
      <dsp:spPr>
        <a:xfrm>
          <a:off x="3523872" y="1236428"/>
          <a:ext cx="654404" cy="654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Capital Plan</a:t>
          </a:r>
        </a:p>
      </dsp:txBody>
      <dsp:txXfrm>
        <a:off x="3523872" y="1236428"/>
        <a:ext cx="654404" cy="654404"/>
      </dsp:txXfrm>
    </dsp:sp>
    <dsp:sp modelId="{F3C648E1-FE20-42EF-A3E9-D3310625967E}">
      <dsp:nvSpPr>
        <dsp:cNvPr id="0" name=""/>
        <dsp:cNvSpPr/>
      </dsp:nvSpPr>
      <dsp:spPr>
        <a:xfrm>
          <a:off x="1588573" y="164"/>
          <a:ext cx="2454032" cy="2454032"/>
        </a:xfrm>
        <a:prstGeom prst="circularArrow">
          <a:avLst>
            <a:gd name="adj1" fmla="val 5200"/>
            <a:gd name="adj2" fmla="val 335899"/>
            <a:gd name="adj3" fmla="val 4014757"/>
            <a:gd name="adj4" fmla="val 2253378"/>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9A013-2872-493D-B029-D33E935A46FC}">
      <dsp:nvSpPr>
        <dsp:cNvPr id="0" name=""/>
        <dsp:cNvSpPr/>
      </dsp:nvSpPr>
      <dsp:spPr>
        <a:xfrm>
          <a:off x="2488387" y="1988752"/>
          <a:ext cx="654404" cy="654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Invest-ment</a:t>
          </a:r>
        </a:p>
      </dsp:txBody>
      <dsp:txXfrm>
        <a:off x="2488387" y="1988752"/>
        <a:ext cx="654404" cy="654404"/>
      </dsp:txXfrm>
    </dsp:sp>
    <dsp:sp modelId="{9CF582C4-FBBE-491C-8D4F-D88304BB14D9}">
      <dsp:nvSpPr>
        <dsp:cNvPr id="0" name=""/>
        <dsp:cNvSpPr/>
      </dsp:nvSpPr>
      <dsp:spPr>
        <a:xfrm>
          <a:off x="1588573" y="164"/>
          <a:ext cx="2454032" cy="2454032"/>
        </a:xfrm>
        <a:prstGeom prst="circularArrow">
          <a:avLst>
            <a:gd name="adj1" fmla="val 5200"/>
            <a:gd name="adj2" fmla="val 335899"/>
            <a:gd name="adj3" fmla="val 8210722"/>
            <a:gd name="adj4" fmla="val 6449344"/>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8347DD2-7083-4D0E-B37D-A2ED0F61A6F7}">
      <dsp:nvSpPr>
        <dsp:cNvPr id="0" name=""/>
        <dsp:cNvSpPr/>
      </dsp:nvSpPr>
      <dsp:spPr>
        <a:xfrm>
          <a:off x="1452902" y="1236428"/>
          <a:ext cx="654404" cy="654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Quality of Life</a:t>
          </a:r>
        </a:p>
      </dsp:txBody>
      <dsp:txXfrm>
        <a:off x="1452902" y="1236428"/>
        <a:ext cx="654404" cy="654404"/>
      </dsp:txXfrm>
    </dsp:sp>
    <dsp:sp modelId="{CB620956-465B-4185-A9DE-5DBA8A7A3A5C}">
      <dsp:nvSpPr>
        <dsp:cNvPr id="0" name=""/>
        <dsp:cNvSpPr/>
      </dsp:nvSpPr>
      <dsp:spPr>
        <a:xfrm>
          <a:off x="1588573" y="164"/>
          <a:ext cx="2454032" cy="2454032"/>
        </a:xfrm>
        <a:prstGeom prst="circularArrow">
          <a:avLst>
            <a:gd name="adj1" fmla="val 5200"/>
            <a:gd name="adj2" fmla="val 335899"/>
            <a:gd name="adj3" fmla="val 12297912"/>
            <a:gd name="adj4" fmla="val 10770802"/>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8D8935-F79D-4178-9804-74ABDB344967}">
      <dsp:nvSpPr>
        <dsp:cNvPr id="0" name=""/>
        <dsp:cNvSpPr/>
      </dsp:nvSpPr>
      <dsp:spPr>
        <a:xfrm>
          <a:off x="1848422" y="19142"/>
          <a:ext cx="654404" cy="65440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Growth</a:t>
          </a:r>
        </a:p>
      </dsp:txBody>
      <dsp:txXfrm>
        <a:off x="1848422" y="19142"/>
        <a:ext cx="654404" cy="654404"/>
      </dsp:txXfrm>
    </dsp:sp>
    <dsp:sp modelId="{F98706C4-C2BE-419E-AEFD-3960887883E8}">
      <dsp:nvSpPr>
        <dsp:cNvPr id="0" name=""/>
        <dsp:cNvSpPr/>
      </dsp:nvSpPr>
      <dsp:spPr>
        <a:xfrm>
          <a:off x="1588573" y="164"/>
          <a:ext cx="2454032" cy="2454032"/>
        </a:xfrm>
        <a:prstGeom prst="circularArrow">
          <a:avLst>
            <a:gd name="adj1" fmla="val 5200"/>
            <a:gd name="adj2" fmla="val 335899"/>
            <a:gd name="adj3" fmla="val 16865745"/>
            <a:gd name="adj4" fmla="val 15198356"/>
            <a:gd name="adj5" fmla="val 606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D78D-094B-49A3-AF40-ED2CAA33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5808</Words>
  <Characters>33111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Barringer</dc:creator>
  <cp:lastModifiedBy>Ben Bulkeley</cp:lastModifiedBy>
  <cp:revision>2</cp:revision>
  <cp:lastPrinted>2016-10-09T17:31:00Z</cp:lastPrinted>
  <dcterms:created xsi:type="dcterms:W3CDTF">2016-11-03T20:45:00Z</dcterms:created>
  <dcterms:modified xsi:type="dcterms:W3CDTF">2016-11-03T20:45:00Z</dcterms:modified>
</cp:coreProperties>
</file>